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568500">
      <w:pPr>
        <w:jc w:val="center"/>
        <w:rPr>
          <w:rFonts w:ascii="黑体" w:hAnsi="Times New Roman" w:eastAsia="黑体" w:cs="Times New Roman"/>
          <w:b/>
          <w:color w:val="000000"/>
          <w:kern w:val="0"/>
          <w:sz w:val="52"/>
          <w:szCs w:val="52"/>
          <w:highlight w:val="none"/>
        </w:rPr>
      </w:pPr>
    </w:p>
    <w:p w14:paraId="21392E96">
      <w:pPr>
        <w:jc w:val="center"/>
        <w:rPr>
          <w:rFonts w:ascii="Times New Roman" w:hAnsi="Times New Roman" w:eastAsia="彩虹小标宋" w:cs="Times New Roman"/>
          <w:b/>
          <w:color w:val="000000"/>
          <w:spacing w:val="67"/>
          <w:kern w:val="0"/>
          <w:sz w:val="40"/>
          <w:szCs w:val="48"/>
          <w:highlight w:val="none"/>
        </w:rPr>
      </w:pPr>
      <w:r>
        <w:rPr>
          <w:rFonts w:hint="eastAsia" w:ascii="黑体" w:hAnsi="Times New Roman" w:eastAsia="黑体" w:cs="Times New Roman"/>
          <w:b/>
          <w:color w:val="000000"/>
          <w:kern w:val="0"/>
          <w:sz w:val="52"/>
          <w:szCs w:val="52"/>
          <w:highlight w:val="none"/>
        </w:rPr>
        <w:t>灌云县政府采购招标文件</w:t>
      </w:r>
      <w:bookmarkStart w:id="0" w:name="OLE_LINK6"/>
    </w:p>
    <w:bookmarkEnd w:id="0"/>
    <w:p w14:paraId="29BD0550">
      <w:pPr>
        <w:widowControl/>
        <w:spacing w:line="360" w:lineRule="auto"/>
        <w:rPr>
          <w:rFonts w:ascii="Times New Roman" w:hAnsi="Times New Roman" w:eastAsia="彩虹小标宋" w:cs="Times New Roman"/>
          <w:b/>
          <w:color w:val="000000"/>
          <w:spacing w:val="67"/>
          <w:kern w:val="0"/>
          <w:sz w:val="40"/>
          <w:szCs w:val="48"/>
          <w:highlight w:val="none"/>
        </w:rPr>
      </w:pPr>
    </w:p>
    <w:p w14:paraId="53819937">
      <w:pPr>
        <w:widowControl/>
        <w:spacing w:line="360" w:lineRule="auto"/>
        <w:jc w:val="center"/>
        <w:rPr>
          <w:rFonts w:ascii="Times New Roman" w:hAnsi="Times New Roman" w:eastAsia="彩虹小标宋" w:cs="Times New Roman"/>
          <w:b/>
          <w:color w:val="000000"/>
          <w:spacing w:val="67"/>
          <w:kern w:val="0"/>
          <w:sz w:val="40"/>
          <w:szCs w:val="48"/>
          <w:highlight w:val="none"/>
        </w:rPr>
      </w:pPr>
    </w:p>
    <w:p w14:paraId="2DDFB3F0">
      <w:pPr>
        <w:jc w:val="center"/>
        <w:rPr>
          <w:rFonts w:ascii="黑体" w:hAnsi="Times New Roman" w:eastAsia="黑体" w:cs="Times New Roman"/>
          <w:b/>
          <w:color w:val="000000"/>
          <w:kern w:val="0"/>
          <w:sz w:val="32"/>
          <w:szCs w:val="32"/>
          <w:highlight w:val="none"/>
        </w:rPr>
      </w:pPr>
    </w:p>
    <w:p w14:paraId="7A06D9AC">
      <w:pPr>
        <w:jc w:val="center"/>
        <w:rPr>
          <w:rFonts w:ascii="黑体" w:hAnsi="Times New Roman" w:eastAsia="黑体" w:cs="Times New Roman"/>
          <w:bCs/>
          <w:color w:val="000000"/>
          <w:kern w:val="0"/>
          <w:sz w:val="32"/>
          <w:szCs w:val="32"/>
          <w:highlight w:val="none"/>
        </w:rPr>
      </w:pPr>
      <w:r>
        <w:rPr>
          <w:rFonts w:hint="eastAsia" w:ascii="黑体" w:hAnsi="Times New Roman" w:eastAsia="黑体" w:cs="Times New Roman"/>
          <w:b/>
          <w:color w:val="000000"/>
          <w:kern w:val="0"/>
          <w:sz w:val="32"/>
          <w:szCs w:val="32"/>
          <w:highlight w:val="none"/>
        </w:rPr>
        <w:t>灌云县临港产业区化工园区VOCs综合治理能力提升服务项目</w:t>
      </w:r>
      <w:r>
        <w:rPr>
          <w:rFonts w:hint="eastAsia" w:ascii="黑体" w:hAnsi="Times New Roman" w:eastAsia="黑体" w:cs="Times New Roman"/>
          <w:bCs/>
          <w:color w:val="000000"/>
          <w:kern w:val="0"/>
          <w:sz w:val="32"/>
          <w:szCs w:val="32"/>
          <w:highlight w:val="none"/>
        </w:rPr>
        <w:t>（专门面向中小企业）</w:t>
      </w:r>
    </w:p>
    <w:p w14:paraId="73D9935E">
      <w:pPr>
        <w:rPr>
          <w:rFonts w:ascii="黑体" w:hAnsi="Times New Roman" w:eastAsia="黑体" w:cs="Times New Roman"/>
          <w:bCs/>
          <w:color w:val="000000"/>
          <w:sz w:val="32"/>
          <w:szCs w:val="32"/>
          <w:highlight w:val="none"/>
        </w:rPr>
      </w:pPr>
    </w:p>
    <w:p w14:paraId="7CF76EF6">
      <w:pPr>
        <w:rPr>
          <w:rFonts w:ascii="黑体" w:hAnsi="Times New Roman" w:eastAsia="黑体" w:cs="Times New Roman"/>
          <w:bCs/>
          <w:color w:val="000000"/>
          <w:sz w:val="32"/>
          <w:szCs w:val="32"/>
          <w:highlight w:val="none"/>
        </w:rPr>
      </w:pPr>
    </w:p>
    <w:p w14:paraId="3B68D046">
      <w:pPr>
        <w:widowControl/>
        <w:ind w:firstLine="1807"/>
        <w:rPr>
          <w:rFonts w:hint="eastAsia" w:ascii="宋体" w:hAnsi="宋体" w:eastAsia="宋体" w:cs="宋体"/>
          <w:b/>
          <w:color w:val="000000"/>
          <w:kern w:val="0"/>
          <w:sz w:val="30"/>
          <w:szCs w:val="30"/>
          <w:highlight w:val="none"/>
          <w:lang w:eastAsia="zh-CN"/>
        </w:rPr>
      </w:pPr>
      <w:r>
        <w:rPr>
          <w:rFonts w:hint="eastAsia" w:ascii="宋体" w:hAnsi="宋体" w:eastAsia="宋体" w:cs="宋体"/>
          <w:b/>
          <w:color w:val="000000"/>
          <w:kern w:val="0"/>
          <w:sz w:val="30"/>
          <w:szCs w:val="30"/>
          <w:highlight w:val="none"/>
        </w:rPr>
        <w:t>编号：</w:t>
      </w:r>
      <w:r>
        <w:rPr>
          <w:rFonts w:hint="eastAsia" w:ascii="宋体" w:hAnsi="宋体" w:eastAsia="宋体" w:cs="宋体"/>
          <w:b/>
          <w:color w:val="000000"/>
          <w:kern w:val="0"/>
          <w:sz w:val="30"/>
          <w:szCs w:val="30"/>
          <w:highlight w:val="none"/>
        </w:rPr>
        <w:tab/>
      </w:r>
      <w:r>
        <w:rPr>
          <w:rFonts w:hint="eastAsia" w:ascii="宋体" w:hAnsi="宋体" w:eastAsia="宋体" w:cs="宋体"/>
          <w:b/>
          <w:color w:val="000000"/>
          <w:kern w:val="0"/>
          <w:sz w:val="30"/>
          <w:szCs w:val="30"/>
          <w:highlight w:val="none"/>
          <w:lang w:eastAsia="zh-CN"/>
        </w:rPr>
        <w:t>JSZC-320723-XHGS-G2025-0009</w:t>
      </w:r>
    </w:p>
    <w:p w14:paraId="3F0ADF7A">
      <w:pPr>
        <w:spacing w:line="360" w:lineRule="auto"/>
        <w:jc w:val="left"/>
        <w:rPr>
          <w:rFonts w:ascii="宋体" w:hAnsi="宋体" w:eastAsia="宋体" w:cs="Times New Roman"/>
          <w:color w:val="000000"/>
          <w:kern w:val="0"/>
          <w:szCs w:val="21"/>
          <w:highlight w:val="none"/>
        </w:rPr>
      </w:pPr>
    </w:p>
    <w:p w14:paraId="1F2C2131">
      <w:pPr>
        <w:spacing w:line="360" w:lineRule="auto"/>
        <w:ind w:firstLine="420"/>
        <w:rPr>
          <w:rFonts w:ascii="宋体" w:hAnsi="宋体" w:eastAsia="宋体" w:cs="Times New Roman"/>
          <w:color w:val="000000"/>
          <w:kern w:val="0"/>
          <w:szCs w:val="21"/>
          <w:highlight w:val="none"/>
        </w:rPr>
      </w:pPr>
    </w:p>
    <w:p w14:paraId="7B020E6B">
      <w:pPr>
        <w:spacing w:line="360" w:lineRule="auto"/>
        <w:rPr>
          <w:rFonts w:ascii="宋体" w:hAnsi="宋体" w:eastAsia="宋体" w:cs="Times New Roman"/>
          <w:color w:val="000000"/>
          <w:kern w:val="0"/>
          <w:szCs w:val="21"/>
          <w:highlight w:val="none"/>
        </w:rPr>
      </w:pPr>
    </w:p>
    <w:p w14:paraId="18F012DD">
      <w:pPr>
        <w:spacing w:line="360" w:lineRule="auto"/>
        <w:rPr>
          <w:rFonts w:ascii="宋体" w:hAnsi="宋体" w:eastAsia="宋体" w:cs="Times New Roman"/>
          <w:color w:val="000000"/>
          <w:kern w:val="0"/>
          <w:szCs w:val="21"/>
          <w:highlight w:val="none"/>
        </w:rPr>
      </w:pPr>
    </w:p>
    <w:p w14:paraId="4D1062A7">
      <w:pPr>
        <w:spacing w:line="360" w:lineRule="auto"/>
        <w:ind w:firstLine="480"/>
        <w:rPr>
          <w:rFonts w:ascii="Times New Roman" w:hAnsi="Times New Roman" w:eastAsia="仿宋_GB2312" w:cs="Times New Roman"/>
          <w:color w:val="000000"/>
          <w:sz w:val="24"/>
          <w:szCs w:val="20"/>
          <w:highlight w:val="none"/>
        </w:rPr>
      </w:pPr>
    </w:p>
    <w:p w14:paraId="08A58D9E">
      <w:pPr>
        <w:spacing w:line="660" w:lineRule="auto"/>
        <w:ind w:firstLine="1763"/>
        <w:jc w:val="left"/>
        <w:rPr>
          <w:rFonts w:ascii="宋体" w:hAnsi="宋体" w:eastAsia="宋体" w:cs="宋体"/>
          <w:bCs/>
          <w:color w:val="000000"/>
          <w:kern w:val="0"/>
          <w:sz w:val="30"/>
          <w:szCs w:val="30"/>
          <w:highlight w:val="none"/>
        </w:rPr>
      </w:pPr>
    </w:p>
    <w:p w14:paraId="52369DEB">
      <w:pPr>
        <w:spacing w:line="660" w:lineRule="auto"/>
        <w:ind w:firstLine="1763"/>
        <w:jc w:val="left"/>
        <w:rPr>
          <w:rFonts w:ascii="宋体" w:hAnsi="宋体" w:eastAsia="宋体" w:cs="宋体"/>
          <w:bCs/>
          <w:color w:val="000000"/>
          <w:kern w:val="0"/>
          <w:sz w:val="30"/>
          <w:szCs w:val="30"/>
          <w:highlight w:val="none"/>
        </w:rPr>
      </w:pPr>
      <w:r>
        <w:rPr>
          <w:rFonts w:hint="eastAsia" w:ascii="宋体" w:hAnsi="宋体" w:eastAsia="宋体" w:cs="宋体"/>
          <w:bCs/>
          <w:color w:val="000000"/>
          <w:kern w:val="0"/>
          <w:sz w:val="30"/>
          <w:szCs w:val="30"/>
          <w:highlight w:val="none"/>
        </w:rPr>
        <w:t>采  购  人：</w:t>
      </w:r>
      <w:bookmarkStart w:id="1" w:name="OLE_LINK10"/>
      <w:r>
        <w:rPr>
          <w:rFonts w:hint="eastAsia" w:ascii="宋体" w:hAnsi="宋体" w:eastAsia="宋体" w:cs="宋体"/>
          <w:bCs/>
          <w:color w:val="000000"/>
          <w:kern w:val="0"/>
          <w:sz w:val="30"/>
          <w:szCs w:val="30"/>
          <w:highlight w:val="none"/>
        </w:rPr>
        <w:t>灌云县临港产业区管理办公室</w:t>
      </w:r>
    </w:p>
    <w:bookmarkEnd w:id="1"/>
    <w:p w14:paraId="14553111">
      <w:pPr>
        <w:spacing w:line="660" w:lineRule="auto"/>
        <w:ind w:firstLine="1763"/>
        <w:jc w:val="left"/>
        <w:rPr>
          <w:rFonts w:ascii="宋体" w:hAnsi="宋体" w:eastAsia="宋体" w:cs="宋体"/>
          <w:bCs/>
          <w:color w:val="000000"/>
          <w:kern w:val="0"/>
          <w:sz w:val="30"/>
          <w:szCs w:val="30"/>
          <w:highlight w:val="none"/>
        </w:rPr>
      </w:pPr>
      <w:r>
        <w:rPr>
          <w:rFonts w:hint="eastAsia" w:ascii="宋体" w:hAnsi="宋体" w:eastAsia="宋体" w:cs="宋体"/>
          <w:bCs/>
          <w:color w:val="000000"/>
          <w:kern w:val="0"/>
          <w:sz w:val="30"/>
          <w:szCs w:val="30"/>
          <w:highlight w:val="none"/>
        </w:rPr>
        <w:t>采购代理机构：连云港新宏项目管理有限公司</w:t>
      </w:r>
    </w:p>
    <w:p w14:paraId="234813D9">
      <w:pPr>
        <w:spacing w:line="660" w:lineRule="auto"/>
        <w:ind w:firstLine="1763"/>
        <w:jc w:val="left"/>
        <w:rPr>
          <w:rFonts w:ascii="宋体" w:hAnsi="宋体" w:eastAsia="宋体" w:cs="宋体"/>
          <w:bCs/>
          <w:color w:val="000000"/>
          <w:kern w:val="0"/>
          <w:sz w:val="30"/>
          <w:szCs w:val="30"/>
          <w:highlight w:val="none"/>
        </w:rPr>
      </w:pPr>
      <w:r>
        <w:rPr>
          <w:rFonts w:hint="eastAsia" w:ascii="宋体" w:hAnsi="宋体" w:eastAsia="宋体" w:cs="宋体"/>
          <w:bCs/>
          <w:color w:val="000000"/>
          <w:kern w:val="0"/>
          <w:sz w:val="30"/>
          <w:szCs w:val="30"/>
          <w:highlight w:val="none"/>
        </w:rPr>
        <w:t>日</w:t>
      </w:r>
      <w:r>
        <w:rPr>
          <w:rFonts w:ascii="宋体" w:hAnsi="宋体" w:eastAsia="宋体" w:cs="宋体"/>
          <w:bCs/>
          <w:color w:val="000000"/>
          <w:kern w:val="0"/>
          <w:sz w:val="30"/>
          <w:szCs w:val="30"/>
          <w:highlight w:val="none"/>
        </w:rPr>
        <w:t xml:space="preserve">   </w:t>
      </w:r>
      <w:r>
        <w:rPr>
          <w:rFonts w:hint="eastAsia" w:ascii="宋体" w:hAnsi="宋体" w:eastAsia="宋体" w:cs="宋体"/>
          <w:bCs/>
          <w:color w:val="000000"/>
          <w:kern w:val="0"/>
          <w:sz w:val="30"/>
          <w:szCs w:val="30"/>
          <w:highlight w:val="none"/>
        </w:rPr>
        <w:t xml:space="preserve">    </w:t>
      </w:r>
      <w:r>
        <w:rPr>
          <w:rFonts w:ascii="宋体" w:hAnsi="宋体" w:eastAsia="宋体" w:cs="宋体"/>
          <w:bCs/>
          <w:color w:val="000000"/>
          <w:kern w:val="0"/>
          <w:sz w:val="30"/>
          <w:szCs w:val="30"/>
          <w:highlight w:val="none"/>
        </w:rPr>
        <w:t xml:space="preserve"> </w:t>
      </w:r>
      <w:r>
        <w:rPr>
          <w:rFonts w:hint="eastAsia" w:ascii="宋体" w:hAnsi="宋体" w:eastAsia="宋体" w:cs="宋体"/>
          <w:bCs/>
          <w:color w:val="000000"/>
          <w:kern w:val="0"/>
          <w:sz w:val="30"/>
          <w:szCs w:val="30"/>
          <w:highlight w:val="none"/>
        </w:rPr>
        <w:t>期： 2025年</w:t>
      </w:r>
      <w:r>
        <w:rPr>
          <w:rFonts w:hint="eastAsia" w:ascii="宋体" w:hAnsi="宋体" w:eastAsia="宋体" w:cs="宋体"/>
          <w:bCs/>
          <w:color w:val="000000"/>
          <w:kern w:val="0"/>
          <w:sz w:val="30"/>
          <w:szCs w:val="30"/>
          <w:highlight w:val="none"/>
          <w:lang w:val="en-US" w:eastAsia="zh-CN"/>
        </w:rPr>
        <w:t>11</w:t>
      </w:r>
      <w:r>
        <w:rPr>
          <w:rFonts w:hint="eastAsia" w:ascii="宋体" w:hAnsi="宋体" w:eastAsia="宋体" w:cs="宋体"/>
          <w:bCs/>
          <w:color w:val="000000"/>
          <w:kern w:val="0"/>
          <w:sz w:val="30"/>
          <w:szCs w:val="30"/>
          <w:highlight w:val="none"/>
        </w:rPr>
        <w:t>月</w:t>
      </w:r>
    </w:p>
    <w:p w14:paraId="1F2E27ED">
      <w:pPr>
        <w:spacing w:line="660" w:lineRule="auto"/>
        <w:ind w:firstLine="1763"/>
        <w:jc w:val="left"/>
        <w:rPr>
          <w:rFonts w:ascii="宋体" w:hAnsi="宋体" w:cs="宋体"/>
          <w:bCs/>
          <w:color w:val="000000"/>
          <w:sz w:val="24"/>
          <w:highlight w:val="none"/>
        </w:rPr>
        <w:sectPr>
          <w:pgSz w:w="11906" w:h="16838"/>
          <w:pgMar w:top="1418" w:right="1134" w:bottom="1418" w:left="1134" w:header="851" w:footer="992" w:gutter="0"/>
          <w:pgNumType w:start="1"/>
          <w:cols w:space="1701" w:num="1"/>
          <w:docGrid w:linePitch="360" w:charSpace="0"/>
        </w:sectPr>
      </w:pPr>
    </w:p>
    <w:p w14:paraId="48BE7C80">
      <w:pPr>
        <w:spacing w:before="120" w:after="120" w:line="360" w:lineRule="auto"/>
        <w:jc w:val="left"/>
        <w:rPr>
          <w:rFonts w:ascii="黑体" w:hAnsi="Arial" w:eastAsia="黑体" w:cs="Times New Roman"/>
          <w:b/>
          <w:color w:val="000000"/>
          <w:sz w:val="44"/>
          <w:highlight w:val="none"/>
        </w:rPr>
      </w:pPr>
      <w:r>
        <w:rPr>
          <w:rFonts w:hint="eastAsia" w:ascii="Arial" w:hAnsi="Arial" w:eastAsia="宋体" w:cs="Times New Roman"/>
          <w:color w:val="000000"/>
          <w:sz w:val="24"/>
          <w:highlight w:val="none"/>
        </w:rPr>
        <w:t xml:space="preserve">               </w:t>
      </w:r>
      <w:bookmarkStart w:id="2" w:name="_Toc120614210"/>
      <w:bookmarkStart w:id="3" w:name="_Toc16938516"/>
      <w:bookmarkStart w:id="4" w:name="_Toc523127445"/>
      <w:bookmarkStart w:id="5" w:name="_Toc513029200"/>
      <w:bookmarkStart w:id="6" w:name="_Toc479757206"/>
      <w:bookmarkStart w:id="7" w:name="_Toc20823272"/>
      <w:r>
        <w:rPr>
          <w:rFonts w:hint="eastAsia" w:ascii="黑体" w:hAnsi="Arial" w:eastAsia="黑体" w:cs="Times New Roman"/>
          <w:b/>
          <w:color w:val="000000"/>
          <w:sz w:val="44"/>
          <w:highlight w:val="none"/>
        </w:rPr>
        <w:t xml:space="preserve">  目  录</w:t>
      </w:r>
    </w:p>
    <w:p w14:paraId="4EBB0654">
      <w:pPr>
        <w:spacing w:line="480" w:lineRule="auto"/>
        <w:rPr>
          <w:rFonts w:ascii="仿宋_GB2312" w:hAnsi="Arial" w:eastAsia="仿宋_GB2312" w:cs="Times New Roman"/>
          <w:b/>
          <w:color w:val="000000"/>
          <w:kern w:val="0"/>
          <w:sz w:val="28"/>
          <w:szCs w:val="21"/>
          <w:highlight w:val="none"/>
        </w:rPr>
      </w:pPr>
    </w:p>
    <w:p w14:paraId="77EE9775">
      <w:pPr>
        <w:numPr>
          <w:ilvl w:val="0"/>
          <w:numId w:val="2"/>
        </w:numPr>
        <w:spacing w:line="480" w:lineRule="auto"/>
        <w:outlineLvl w:val="0"/>
        <w:rPr>
          <w:rFonts w:ascii="黑体" w:hAnsi="宋体" w:eastAsia="宋体" w:cs="Times New Roman"/>
          <w:color w:val="000000"/>
          <w:kern w:val="0"/>
          <w:sz w:val="36"/>
          <w:szCs w:val="21"/>
          <w:highlight w:val="none"/>
        </w:rPr>
      </w:pPr>
      <w:r>
        <w:rPr>
          <w:rFonts w:hint="eastAsia" w:ascii="黑体" w:hAnsi="宋体" w:eastAsia="宋体" w:cs="Times New Roman"/>
          <w:color w:val="000000"/>
          <w:kern w:val="0"/>
          <w:sz w:val="36"/>
          <w:szCs w:val="21"/>
          <w:highlight w:val="none"/>
        </w:rPr>
        <w:t xml:space="preserve">投标邀请…………………………………… </w:t>
      </w:r>
    </w:p>
    <w:p w14:paraId="173566A2">
      <w:pPr>
        <w:numPr>
          <w:ilvl w:val="0"/>
          <w:numId w:val="2"/>
        </w:numPr>
        <w:spacing w:line="480" w:lineRule="auto"/>
        <w:outlineLvl w:val="0"/>
        <w:rPr>
          <w:rFonts w:ascii="黑体" w:hAnsi="Showcard Gothic" w:eastAsia="宋体" w:cs="Times New Roman"/>
          <w:color w:val="000000"/>
          <w:kern w:val="0"/>
          <w:sz w:val="36"/>
          <w:szCs w:val="21"/>
          <w:highlight w:val="none"/>
        </w:rPr>
      </w:pPr>
      <w:r>
        <w:rPr>
          <w:rFonts w:hint="eastAsia" w:ascii="黑体" w:hAnsi="宋体" w:eastAsia="宋体" w:cs="Times New Roman"/>
          <w:bCs/>
          <w:color w:val="000000"/>
          <w:kern w:val="0"/>
          <w:sz w:val="36"/>
          <w:szCs w:val="36"/>
          <w:highlight w:val="none"/>
        </w:rPr>
        <w:t>投标人须知</w:t>
      </w:r>
      <w:r>
        <w:rPr>
          <w:rFonts w:hint="eastAsia" w:ascii="黑体" w:hAnsi="Showcard Gothic" w:eastAsia="宋体" w:cs="Times New Roman"/>
          <w:color w:val="000000"/>
          <w:kern w:val="0"/>
          <w:sz w:val="36"/>
          <w:szCs w:val="36"/>
          <w:highlight w:val="none"/>
        </w:rPr>
        <w:t>…</w:t>
      </w:r>
      <w:r>
        <w:rPr>
          <w:rFonts w:hint="eastAsia" w:ascii="黑体" w:hAnsi="Showcard Gothic" w:eastAsia="宋体" w:cs="Times New Roman"/>
          <w:color w:val="000000"/>
          <w:kern w:val="0"/>
          <w:sz w:val="36"/>
          <w:szCs w:val="21"/>
          <w:highlight w:val="none"/>
        </w:rPr>
        <w:t xml:space="preserve">………………………………  </w:t>
      </w:r>
    </w:p>
    <w:p w14:paraId="76AF0387">
      <w:pPr>
        <w:numPr>
          <w:ilvl w:val="0"/>
          <w:numId w:val="2"/>
        </w:numPr>
        <w:spacing w:line="480" w:lineRule="auto"/>
        <w:outlineLvl w:val="0"/>
        <w:rPr>
          <w:rFonts w:ascii="黑体" w:hAnsi="Showcard Gothic" w:eastAsia="宋体" w:cs="Times New Roman"/>
          <w:color w:val="000000"/>
          <w:kern w:val="0"/>
          <w:sz w:val="36"/>
          <w:szCs w:val="21"/>
          <w:highlight w:val="none"/>
        </w:rPr>
      </w:pPr>
      <w:r>
        <w:rPr>
          <w:rFonts w:hint="eastAsia" w:ascii="黑体" w:hAnsi="宋体" w:eastAsia="宋体" w:cs="Times New Roman"/>
          <w:color w:val="000000"/>
          <w:kern w:val="0"/>
          <w:sz w:val="36"/>
          <w:szCs w:val="21"/>
          <w:highlight w:val="none"/>
        </w:rPr>
        <w:t>合同文本</w:t>
      </w:r>
      <w:r>
        <w:rPr>
          <w:rFonts w:hint="eastAsia" w:ascii="黑体" w:hAnsi="Showcard Gothic" w:eastAsia="宋体" w:cs="Times New Roman"/>
          <w:color w:val="000000"/>
          <w:kern w:val="0"/>
          <w:sz w:val="36"/>
          <w:szCs w:val="21"/>
          <w:highlight w:val="none"/>
        </w:rPr>
        <w:t>……………………………………</w:t>
      </w:r>
    </w:p>
    <w:p w14:paraId="33275877">
      <w:pPr>
        <w:numPr>
          <w:ilvl w:val="0"/>
          <w:numId w:val="2"/>
        </w:numPr>
        <w:spacing w:line="480" w:lineRule="auto"/>
        <w:outlineLvl w:val="0"/>
        <w:rPr>
          <w:rFonts w:ascii="黑体" w:hAnsi="Showcard Gothic" w:eastAsia="宋体" w:cs="Times New Roman"/>
          <w:color w:val="000000"/>
          <w:kern w:val="0"/>
          <w:sz w:val="36"/>
          <w:szCs w:val="21"/>
          <w:highlight w:val="none"/>
        </w:rPr>
      </w:pPr>
      <w:r>
        <w:rPr>
          <w:rFonts w:hint="eastAsia" w:ascii="黑体" w:hAnsi="宋体" w:eastAsia="宋体" w:cs="Times New Roman"/>
          <w:color w:val="000000"/>
          <w:kern w:val="0"/>
          <w:sz w:val="36"/>
          <w:szCs w:val="21"/>
          <w:highlight w:val="none"/>
        </w:rPr>
        <w:t>采购需求</w:t>
      </w:r>
      <w:r>
        <w:rPr>
          <w:rFonts w:hint="eastAsia" w:ascii="黑体" w:hAnsi="Showcard Gothic" w:eastAsia="宋体" w:cs="Times New Roman"/>
          <w:color w:val="000000"/>
          <w:kern w:val="0"/>
          <w:sz w:val="36"/>
          <w:szCs w:val="21"/>
          <w:highlight w:val="none"/>
        </w:rPr>
        <w:t>……………………………………</w:t>
      </w:r>
    </w:p>
    <w:p w14:paraId="0779A1FA">
      <w:pPr>
        <w:numPr>
          <w:ilvl w:val="0"/>
          <w:numId w:val="2"/>
        </w:numPr>
        <w:spacing w:line="480" w:lineRule="auto"/>
        <w:outlineLvl w:val="0"/>
        <w:rPr>
          <w:rFonts w:ascii="黑体" w:hAnsi="Showcard Gothic" w:eastAsia="宋体" w:cs="Times New Roman"/>
          <w:color w:val="000000"/>
          <w:kern w:val="0"/>
          <w:sz w:val="36"/>
          <w:szCs w:val="21"/>
          <w:highlight w:val="none"/>
        </w:rPr>
      </w:pPr>
      <w:r>
        <w:rPr>
          <w:rFonts w:hint="eastAsia" w:ascii="黑体" w:hAnsi="宋体" w:eastAsia="宋体" w:cs="Times New Roman"/>
          <w:bCs/>
          <w:color w:val="000000"/>
          <w:kern w:val="0"/>
          <w:sz w:val="36"/>
          <w:szCs w:val="36"/>
          <w:highlight w:val="none"/>
        </w:rPr>
        <w:t>评标方法与评标标准</w:t>
      </w:r>
      <w:r>
        <w:rPr>
          <w:rFonts w:hint="eastAsia" w:ascii="黑体" w:hAnsi="Showcard Gothic" w:eastAsia="宋体" w:cs="Times New Roman"/>
          <w:color w:val="000000"/>
          <w:kern w:val="0"/>
          <w:sz w:val="36"/>
          <w:szCs w:val="21"/>
          <w:highlight w:val="none"/>
        </w:rPr>
        <w:t>………………………</w:t>
      </w:r>
    </w:p>
    <w:p w14:paraId="6047B801">
      <w:pPr>
        <w:numPr>
          <w:ilvl w:val="0"/>
          <w:numId w:val="2"/>
        </w:numPr>
        <w:spacing w:line="480" w:lineRule="auto"/>
        <w:outlineLvl w:val="0"/>
        <w:rPr>
          <w:rFonts w:ascii="黑体" w:hAnsi="Showcard Gothic" w:eastAsia="黑体" w:cs="Times New Roman"/>
          <w:color w:val="000000"/>
          <w:kern w:val="0"/>
          <w:sz w:val="36"/>
          <w:szCs w:val="21"/>
          <w:highlight w:val="none"/>
        </w:rPr>
      </w:pPr>
      <w:r>
        <w:rPr>
          <w:rFonts w:hint="eastAsia" w:ascii="黑体" w:hAnsi="宋体" w:eastAsia="宋体" w:cs="Times New Roman"/>
          <w:color w:val="000000"/>
          <w:kern w:val="0"/>
          <w:sz w:val="36"/>
          <w:szCs w:val="21"/>
          <w:highlight w:val="none"/>
        </w:rPr>
        <w:t>投标文件格式</w:t>
      </w:r>
      <w:r>
        <w:rPr>
          <w:rFonts w:hint="eastAsia" w:ascii="黑体" w:hAnsi="Showcard Gothic" w:eastAsia="宋体" w:cs="Times New Roman"/>
          <w:color w:val="000000"/>
          <w:kern w:val="0"/>
          <w:sz w:val="36"/>
          <w:szCs w:val="21"/>
          <w:highlight w:val="none"/>
        </w:rPr>
        <w:t>…………………</w:t>
      </w:r>
      <w:r>
        <w:rPr>
          <w:rFonts w:hint="eastAsia" w:ascii="黑体" w:hAnsi="Showcard Gothic" w:eastAsia="黑体" w:cs="Times New Roman"/>
          <w:color w:val="000000"/>
          <w:kern w:val="0"/>
          <w:sz w:val="36"/>
          <w:szCs w:val="21"/>
          <w:highlight w:val="none"/>
        </w:rPr>
        <w:t>……………</w:t>
      </w:r>
    </w:p>
    <w:p w14:paraId="3A6AE371">
      <w:pPr>
        <w:rPr>
          <w:rFonts w:ascii="Times New Roman" w:hAnsi="Times New Roman" w:eastAsia="宋体" w:cs="Times New Roman"/>
          <w:color w:val="000000"/>
          <w:kern w:val="0"/>
          <w:szCs w:val="21"/>
          <w:highlight w:val="none"/>
        </w:rPr>
      </w:pPr>
    </w:p>
    <w:p w14:paraId="31A4412A">
      <w:pPr>
        <w:rPr>
          <w:rFonts w:ascii="Times New Roman" w:hAnsi="Times New Roman" w:eastAsia="宋体" w:cs="Times New Roman"/>
          <w:color w:val="000000"/>
          <w:kern w:val="0"/>
          <w:szCs w:val="21"/>
          <w:highlight w:val="none"/>
        </w:rPr>
      </w:pPr>
    </w:p>
    <w:p w14:paraId="0564BD4E">
      <w:pPr>
        <w:rPr>
          <w:rFonts w:ascii="Times New Roman" w:hAnsi="Times New Roman" w:eastAsia="宋体" w:cs="Times New Roman"/>
          <w:color w:val="000000"/>
          <w:kern w:val="0"/>
          <w:szCs w:val="21"/>
          <w:highlight w:val="none"/>
        </w:rPr>
      </w:pPr>
    </w:p>
    <w:p w14:paraId="04BF1309">
      <w:pPr>
        <w:rPr>
          <w:rFonts w:ascii="Times New Roman" w:hAnsi="Times New Roman" w:eastAsia="宋体" w:cs="Times New Roman"/>
          <w:color w:val="000000"/>
          <w:kern w:val="0"/>
          <w:szCs w:val="21"/>
          <w:highlight w:val="none"/>
        </w:rPr>
      </w:pPr>
    </w:p>
    <w:p w14:paraId="3149EE80">
      <w:pPr>
        <w:rPr>
          <w:rFonts w:ascii="Times New Roman" w:hAnsi="Times New Roman" w:eastAsia="宋体" w:cs="Times New Roman"/>
          <w:color w:val="000000"/>
          <w:kern w:val="0"/>
          <w:szCs w:val="21"/>
          <w:highlight w:val="none"/>
        </w:rPr>
      </w:pPr>
    </w:p>
    <w:p w14:paraId="7C4F811C">
      <w:pPr>
        <w:rPr>
          <w:rFonts w:ascii="Times New Roman" w:hAnsi="Times New Roman" w:eastAsia="宋体" w:cs="Times New Roman"/>
          <w:color w:val="000000"/>
          <w:kern w:val="0"/>
          <w:szCs w:val="21"/>
          <w:highlight w:val="none"/>
        </w:rPr>
      </w:pPr>
    </w:p>
    <w:p w14:paraId="1118FC7F">
      <w:pPr>
        <w:rPr>
          <w:rFonts w:ascii="Times New Roman" w:hAnsi="Times New Roman" w:eastAsia="宋体" w:cs="Times New Roman"/>
          <w:color w:val="000000"/>
          <w:kern w:val="0"/>
          <w:szCs w:val="21"/>
          <w:highlight w:val="none"/>
        </w:rPr>
      </w:pPr>
    </w:p>
    <w:p w14:paraId="069B4837">
      <w:pPr>
        <w:rPr>
          <w:rFonts w:ascii="Times New Roman" w:hAnsi="Times New Roman" w:eastAsia="宋体" w:cs="Times New Roman"/>
          <w:color w:val="000000"/>
          <w:kern w:val="0"/>
          <w:szCs w:val="21"/>
          <w:highlight w:val="none"/>
        </w:rPr>
      </w:pPr>
    </w:p>
    <w:p w14:paraId="0E2E22AD">
      <w:pPr>
        <w:rPr>
          <w:rFonts w:ascii="Times New Roman" w:hAnsi="Times New Roman" w:eastAsia="宋体" w:cs="Times New Roman"/>
          <w:color w:val="000000"/>
          <w:kern w:val="0"/>
          <w:szCs w:val="21"/>
          <w:highlight w:val="none"/>
        </w:rPr>
      </w:pPr>
    </w:p>
    <w:p w14:paraId="1AF4FF45">
      <w:pPr>
        <w:rPr>
          <w:rFonts w:ascii="Times New Roman" w:hAnsi="Times New Roman" w:eastAsia="宋体" w:cs="Times New Roman"/>
          <w:color w:val="000000"/>
          <w:kern w:val="0"/>
          <w:szCs w:val="21"/>
          <w:highlight w:val="none"/>
        </w:rPr>
      </w:pPr>
    </w:p>
    <w:p w14:paraId="43F1CB4A">
      <w:pPr>
        <w:rPr>
          <w:rFonts w:ascii="Times New Roman" w:hAnsi="Times New Roman" w:eastAsia="宋体" w:cs="Times New Roman"/>
          <w:color w:val="000000"/>
          <w:kern w:val="0"/>
          <w:szCs w:val="21"/>
          <w:highlight w:val="none"/>
        </w:rPr>
      </w:pPr>
    </w:p>
    <w:p w14:paraId="2E10ABD4">
      <w:pPr>
        <w:rPr>
          <w:rFonts w:ascii="Times New Roman" w:hAnsi="Times New Roman" w:eastAsia="宋体" w:cs="Times New Roman"/>
          <w:color w:val="000000"/>
          <w:kern w:val="0"/>
          <w:szCs w:val="21"/>
          <w:highlight w:val="none"/>
        </w:rPr>
      </w:pPr>
    </w:p>
    <w:p w14:paraId="509CA49A">
      <w:pPr>
        <w:rPr>
          <w:rFonts w:ascii="Times New Roman" w:hAnsi="Times New Roman" w:eastAsia="宋体" w:cs="Times New Roman"/>
          <w:color w:val="000000"/>
          <w:kern w:val="0"/>
          <w:szCs w:val="21"/>
          <w:highlight w:val="none"/>
        </w:rPr>
      </w:pPr>
    </w:p>
    <w:p w14:paraId="246397D1">
      <w:pPr>
        <w:rPr>
          <w:rFonts w:ascii="Times New Roman" w:hAnsi="Times New Roman" w:eastAsia="宋体" w:cs="Times New Roman"/>
          <w:color w:val="000000"/>
          <w:kern w:val="0"/>
          <w:szCs w:val="21"/>
          <w:highlight w:val="none"/>
        </w:rPr>
      </w:pPr>
    </w:p>
    <w:p w14:paraId="1BC3E7AC">
      <w:pPr>
        <w:rPr>
          <w:rFonts w:ascii="Times New Roman" w:hAnsi="Times New Roman" w:eastAsia="宋体" w:cs="Times New Roman"/>
          <w:color w:val="000000"/>
          <w:kern w:val="0"/>
          <w:szCs w:val="21"/>
          <w:highlight w:val="none"/>
        </w:rPr>
      </w:pPr>
    </w:p>
    <w:p w14:paraId="459B748C">
      <w:pPr>
        <w:rPr>
          <w:rFonts w:ascii="Times New Roman" w:hAnsi="Times New Roman" w:eastAsia="宋体" w:cs="Times New Roman"/>
          <w:color w:val="000000"/>
          <w:kern w:val="0"/>
          <w:szCs w:val="21"/>
          <w:highlight w:val="none"/>
        </w:rPr>
      </w:pPr>
    </w:p>
    <w:p w14:paraId="77D2E823">
      <w:pPr>
        <w:rPr>
          <w:rFonts w:ascii="Times New Roman" w:hAnsi="Times New Roman" w:eastAsia="宋体" w:cs="Times New Roman"/>
          <w:color w:val="000000"/>
          <w:kern w:val="0"/>
          <w:szCs w:val="21"/>
          <w:highlight w:val="none"/>
        </w:rPr>
      </w:pPr>
    </w:p>
    <w:p w14:paraId="71207947">
      <w:pPr>
        <w:rPr>
          <w:rFonts w:ascii="Times New Roman" w:hAnsi="Times New Roman" w:eastAsia="宋体" w:cs="Times New Roman"/>
          <w:color w:val="000000"/>
          <w:kern w:val="0"/>
          <w:szCs w:val="21"/>
          <w:highlight w:val="none"/>
        </w:rPr>
      </w:pPr>
    </w:p>
    <w:p w14:paraId="05D98EA9">
      <w:pPr>
        <w:rPr>
          <w:rFonts w:ascii="Times New Roman" w:hAnsi="Times New Roman" w:eastAsia="宋体" w:cs="Times New Roman"/>
          <w:color w:val="000000"/>
          <w:kern w:val="0"/>
          <w:szCs w:val="21"/>
          <w:highlight w:val="none"/>
        </w:rPr>
      </w:pPr>
    </w:p>
    <w:p w14:paraId="0642923C">
      <w:pPr>
        <w:rPr>
          <w:rFonts w:ascii="Times New Roman" w:hAnsi="Times New Roman" w:eastAsia="宋体" w:cs="Times New Roman"/>
          <w:color w:val="000000"/>
          <w:kern w:val="0"/>
          <w:szCs w:val="21"/>
          <w:highlight w:val="none"/>
        </w:rPr>
      </w:pPr>
    </w:p>
    <w:p w14:paraId="42F0BB0C">
      <w:pPr>
        <w:rPr>
          <w:rFonts w:ascii="Times New Roman" w:hAnsi="Times New Roman" w:eastAsia="宋体" w:cs="Times New Roman"/>
          <w:color w:val="000000"/>
          <w:kern w:val="0"/>
          <w:szCs w:val="21"/>
          <w:highlight w:val="none"/>
        </w:rPr>
      </w:pPr>
    </w:p>
    <w:p w14:paraId="28449E7E">
      <w:pPr>
        <w:rPr>
          <w:rFonts w:ascii="Times New Roman" w:hAnsi="Times New Roman" w:eastAsia="宋体" w:cs="Times New Roman"/>
          <w:color w:val="000000"/>
          <w:kern w:val="0"/>
          <w:szCs w:val="21"/>
          <w:highlight w:val="none"/>
        </w:rPr>
      </w:pPr>
    </w:p>
    <w:p w14:paraId="6B810729">
      <w:pPr>
        <w:rPr>
          <w:rFonts w:ascii="Times New Roman" w:hAnsi="Times New Roman" w:eastAsia="宋体" w:cs="Times New Roman"/>
          <w:color w:val="000000"/>
          <w:kern w:val="0"/>
          <w:szCs w:val="21"/>
          <w:highlight w:val="none"/>
        </w:rPr>
      </w:pPr>
    </w:p>
    <w:p w14:paraId="4FFCA35C">
      <w:pPr>
        <w:rPr>
          <w:rFonts w:ascii="Times New Roman" w:hAnsi="Times New Roman" w:eastAsia="宋体" w:cs="Times New Roman"/>
          <w:color w:val="000000"/>
          <w:kern w:val="0"/>
          <w:szCs w:val="21"/>
          <w:highlight w:val="none"/>
        </w:rPr>
      </w:pPr>
    </w:p>
    <w:p w14:paraId="2A13D6D1">
      <w:pPr>
        <w:rPr>
          <w:rFonts w:ascii="Times New Roman" w:hAnsi="Times New Roman" w:eastAsia="宋体" w:cs="Times New Roman"/>
          <w:color w:val="000000"/>
          <w:kern w:val="0"/>
          <w:szCs w:val="21"/>
          <w:highlight w:val="none"/>
        </w:rPr>
      </w:pPr>
    </w:p>
    <w:p w14:paraId="5624D3F6">
      <w:pPr>
        <w:rPr>
          <w:rFonts w:ascii="Times New Roman" w:hAnsi="Times New Roman" w:eastAsia="宋体" w:cs="Times New Roman"/>
          <w:color w:val="000000"/>
          <w:kern w:val="0"/>
          <w:szCs w:val="21"/>
          <w:highlight w:val="none"/>
        </w:rPr>
      </w:pPr>
    </w:p>
    <w:p w14:paraId="5DE45B82">
      <w:pPr>
        <w:rPr>
          <w:rFonts w:ascii="黑体" w:eastAsia="黑体"/>
          <w:color w:val="000000"/>
          <w:sz w:val="44"/>
          <w:szCs w:val="44"/>
          <w:highlight w:val="none"/>
        </w:rPr>
        <w:sectPr>
          <w:headerReference r:id="rId3" w:type="default"/>
          <w:footerReference r:id="rId4" w:type="default"/>
          <w:pgSz w:w="11906" w:h="16838"/>
          <w:pgMar w:top="1418" w:right="1588" w:bottom="1418" w:left="1365" w:header="851" w:footer="907" w:gutter="0"/>
          <w:cols w:space="1701" w:num="1"/>
          <w:titlePg/>
          <w:docGrid w:linePitch="360" w:charSpace="0"/>
        </w:sectPr>
      </w:pPr>
    </w:p>
    <w:p w14:paraId="1C976D95">
      <w:pPr>
        <w:keepNext/>
        <w:jc w:val="center"/>
        <w:outlineLvl w:val="0"/>
        <w:rPr>
          <w:rFonts w:ascii="黑体" w:hAnsi="Times New Roman" w:eastAsia="黑体" w:cs="Times New Roman"/>
          <w:bCs/>
          <w:color w:val="000000"/>
          <w:sz w:val="44"/>
          <w:szCs w:val="44"/>
          <w:highlight w:val="none"/>
        </w:rPr>
      </w:pPr>
      <w:r>
        <w:rPr>
          <w:rFonts w:hint="eastAsia" w:ascii="黑体" w:hAnsi="Times New Roman" w:eastAsia="黑体" w:cs="Times New Roman"/>
          <w:color w:val="000000"/>
          <w:sz w:val="44"/>
          <w:szCs w:val="44"/>
          <w:highlight w:val="none"/>
        </w:rPr>
        <w:t xml:space="preserve">第一章  </w:t>
      </w:r>
      <w:bookmarkEnd w:id="2"/>
      <w:r>
        <w:rPr>
          <w:rFonts w:hint="eastAsia" w:ascii="黑体" w:hAnsi="Times New Roman" w:eastAsia="黑体" w:cs="Times New Roman"/>
          <w:color w:val="000000"/>
          <w:sz w:val="44"/>
          <w:szCs w:val="44"/>
          <w:highlight w:val="none"/>
        </w:rPr>
        <w:t>投标邀请</w:t>
      </w:r>
    </w:p>
    <w:p w14:paraId="7853C16C">
      <w:pPr>
        <w:ind w:firstLine="480"/>
        <w:rPr>
          <w:rFonts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受</w:t>
      </w:r>
      <w:r>
        <w:rPr>
          <w:rFonts w:hint="eastAsia" w:ascii="宋体" w:hAnsi="宋体" w:eastAsia="宋体" w:cs="Times New Roman"/>
          <w:color w:val="000000"/>
          <w:kern w:val="0"/>
          <w:sz w:val="24"/>
          <w:highlight w:val="none"/>
          <w:u w:val="single"/>
        </w:rPr>
        <w:t>灌云县临港产业区管理办公室</w:t>
      </w:r>
      <w:r>
        <w:rPr>
          <w:rFonts w:hint="eastAsia" w:ascii="宋体" w:hAnsi="宋体" w:eastAsia="宋体" w:cs="Times New Roman"/>
          <w:color w:val="000000"/>
          <w:kern w:val="0"/>
          <w:sz w:val="24"/>
          <w:highlight w:val="none"/>
        </w:rPr>
        <w:t>的委托，</w:t>
      </w:r>
      <w:r>
        <w:rPr>
          <w:rFonts w:hint="eastAsia" w:ascii="宋体" w:hAnsi="宋体" w:eastAsia="宋体" w:cs="Times New Roman"/>
          <w:color w:val="000000"/>
          <w:kern w:val="0"/>
          <w:sz w:val="24"/>
          <w:highlight w:val="none"/>
          <w:u w:val="single"/>
        </w:rPr>
        <w:t>连云港新宏项目管理有限公司</w:t>
      </w:r>
      <w:r>
        <w:rPr>
          <w:rFonts w:hint="eastAsia" w:ascii="宋体" w:hAnsi="宋体" w:eastAsia="宋体" w:cs="Times New Roman"/>
          <w:color w:val="000000"/>
          <w:kern w:val="0"/>
          <w:sz w:val="24"/>
          <w:highlight w:val="none"/>
        </w:rPr>
        <w:t>就</w:t>
      </w:r>
      <w:r>
        <w:rPr>
          <w:rFonts w:hint="eastAsia" w:ascii="宋体" w:hAnsi="宋体" w:eastAsia="宋体" w:cs="Times New Roman"/>
          <w:color w:val="000000"/>
          <w:kern w:val="0"/>
          <w:sz w:val="24"/>
          <w:highlight w:val="none"/>
          <w:u w:val="single"/>
        </w:rPr>
        <w:t>灌云县临港产业区化工园区VOCs综合治理能力提升服务项目（专门面向中小企业）</w:t>
      </w:r>
      <w:r>
        <w:rPr>
          <w:rFonts w:hint="eastAsia" w:ascii="宋体" w:hAnsi="宋体" w:eastAsia="宋体" w:cs="Times New Roman"/>
          <w:color w:val="000000"/>
          <w:kern w:val="0"/>
          <w:sz w:val="24"/>
          <w:highlight w:val="none"/>
        </w:rPr>
        <w:t>项目进行公开招标采购，欢迎符合条件的供应商投标。</w:t>
      </w:r>
    </w:p>
    <w:p w14:paraId="40303356">
      <w:pPr>
        <w:pBdr>
          <w:top w:val="single" w:color="000000" w:sz="4" w:space="1"/>
          <w:left w:val="single" w:color="000000" w:sz="4" w:space="4"/>
          <w:bottom w:val="single" w:color="000000" w:sz="4" w:space="1"/>
          <w:right w:val="single" w:color="000000" w:sz="4" w:space="4"/>
        </w:pBdr>
        <w:ind w:firstLine="480"/>
        <w:rPr>
          <w:rFonts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项目概况</w:t>
      </w:r>
    </w:p>
    <w:p w14:paraId="142E41B0">
      <w:pPr>
        <w:pBdr>
          <w:top w:val="single" w:color="000000" w:sz="4" w:space="1"/>
          <w:left w:val="single" w:color="000000" w:sz="4" w:space="4"/>
          <w:bottom w:val="single" w:color="000000" w:sz="4" w:space="1"/>
          <w:right w:val="single" w:color="000000" w:sz="4" w:space="4"/>
        </w:pBdr>
        <w:ind w:firstLine="480"/>
        <w:rPr>
          <w:rFonts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u w:val="single"/>
        </w:rPr>
        <w:t>灌云县临港产业区化工园区VOCs综合治理能力提升服务项目（专门面向中小企业）</w:t>
      </w:r>
      <w:r>
        <w:rPr>
          <w:rFonts w:hint="eastAsia" w:ascii="宋体" w:hAnsi="宋体" w:eastAsia="宋体" w:cs="Times New Roman"/>
          <w:color w:val="000000"/>
          <w:kern w:val="0"/>
          <w:sz w:val="24"/>
          <w:highlight w:val="none"/>
        </w:rPr>
        <w:t>招标项目的潜在投标人可在</w:t>
      </w:r>
      <w:r>
        <w:rPr>
          <w:rFonts w:hint="eastAsia" w:ascii="宋体" w:hAnsi="宋体" w:eastAsia="宋体" w:cs="Times New Roman"/>
          <w:color w:val="000000"/>
          <w:kern w:val="0"/>
          <w:sz w:val="24"/>
          <w:highlight w:val="none"/>
          <w:u w:val="single"/>
        </w:rPr>
        <w:t>“江苏政府采购网”自行免费下载</w:t>
      </w:r>
      <w:r>
        <w:rPr>
          <w:rFonts w:hint="eastAsia" w:ascii="宋体" w:hAnsi="宋体" w:eastAsia="宋体" w:cs="Times New Roman"/>
          <w:color w:val="000000"/>
          <w:kern w:val="0"/>
          <w:sz w:val="24"/>
          <w:highlight w:val="none"/>
        </w:rPr>
        <w:t>招标文件，并于</w:t>
      </w:r>
      <w:r>
        <w:rPr>
          <w:rFonts w:hint="eastAsia" w:ascii="宋体" w:hAnsi="宋体" w:eastAsia="宋体" w:cs="Times New Roman"/>
          <w:color w:val="000000"/>
          <w:kern w:val="0"/>
          <w:sz w:val="24"/>
          <w:highlight w:val="none"/>
          <w:u w:val="single"/>
        </w:rPr>
        <w:t>2025</w:t>
      </w:r>
      <w:r>
        <w:rPr>
          <w:rFonts w:hint="eastAsia" w:ascii="宋体" w:hAnsi="宋体" w:eastAsia="宋体" w:cs="Times New Roman"/>
          <w:bCs/>
          <w:color w:val="000000"/>
          <w:kern w:val="0"/>
          <w:sz w:val="24"/>
          <w:highlight w:val="none"/>
          <w:u w:val="single"/>
        </w:rPr>
        <w:t>年</w:t>
      </w:r>
      <w:r>
        <w:rPr>
          <w:rFonts w:hint="eastAsia" w:ascii="宋体" w:hAnsi="宋体" w:eastAsia="宋体" w:cs="Times New Roman"/>
          <w:bCs/>
          <w:color w:val="000000"/>
          <w:kern w:val="0"/>
          <w:sz w:val="24"/>
          <w:highlight w:val="none"/>
          <w:u w:val="single"/>
          <w:lang w:val="en-US" w:eastAsia="zh-CN"/>
        </w:rPr>
        <w:t>12</w:t>
      </w:r>
      <w:r>
        <w:rPr>
          <w:rFonts w:hint="eastAsia" w:ascii="宋体" w:hAnsi="宋体" w:eastAsia="宋体" w:cs="Times New Roman"/>
          <w:bCs/>
          <w:color w:val="000000"/>
          <w:kern w:val="0"/>
          <w:sz w:val="24"/>
          <w:highlight w:val="none"/>
          <w:u w:val="single"/>
        </w:rPr>
        <w:t xml:space="preserve"> 月</w:t>
      </w:r>
      <w:r>
        <w:rPr>
          <w:rFonts w:hint="eastAsia" w:ascii="宋体" w:hAnsi="宋体" w:eastAsia="宋体" w:cs="Times New Roman"/>
          <w:bCs/>
          <w:color w:val="000000"/>
          <w:kern w:val="0"/>
          <w:sz w:val="24"/>
          <w:highlight w:val="none"/>
          <w:u w:val="single"/>
          <w:lang w:val="en-US" w:eastAsia="zh-CN"/>
        </w:rPr>
        <w:t>22</w:t>
      </w:r>
      <w:r>
        <w:rPr>
          <w:rFonts w:hint="eastAsia" w:ascii="宋体" w:hAnsi="宋体" w:eastAsia="宋体" w:cs="Times New Roman"/>
          <w:bCs/>
          <w:color w:val="000000"/>
          <w:kern w:val="0"/>
          <w:sz w:val="24"/>
          <w:highlight w:val="none"/>
          <w:u w:val="single"/>
        </w:rPr>
        <w:t xml:space="preserve"> 日10点00分（</w:t>
      </w:r>
      <w:r>
        <w:rPr>
          <w:rFonts w:hint="eastAsia" w:ascii="宋体" w:hAnsi="宋体" w:eastAsia="宋体" w:cs="Times New Roman"/>
          <w:bCs/>
          <w:color w:val="000000"/>
          <w:kern w:val="0"/>
          <w:sz w:val="24"/>
          <w:highlight w:val="none"/>
        </w:rPr>
        <w:t>北京时间）前递交投标</w:t>
      </w:r>
      <w:r>
        <w:rPr>
          <w:rFonts w:ascii="宋体" w:hAnsi="宋体" w:eastAsia="宋体" w:cs="Times New Roman"/>
          <w:bCs/>
          <w:color w:val="000000"/>
          <w:kern w:val="0"/>
          <w:sz w:val="24"/>
          <w:highlight w:val="none"/>
        </w:rPr>
        <w:t>文件</w:t>
      </w:r>
      <w:r>
        <w:rPr>
          <w:rFonts w:hint="eastAsia" w:ascii="宋体" w:hAnsi="宋体" w:eastAsia="宋体" w:cs="Times New Roman"/>
          <w:color w:val="000000"/>
          <w:kern w:val="0"/>
          <w:sz w:val="24"/>
          <w:highlight w:val="none"/>
        </w:rPr>
        <w:t>。</w:t>
      </w:r>
    </w:p>
    <w:p w14:paraId="4D9AAF70">
      <w:pPr>
        <w:keepNext/>
        <w:keepLines/>
        <w:spacing w:before="145" w:after="145" w:line="360" w:lineRule="auto"/>
        <w:ind w:firstLine="498"/>
        <w:outlineLvl w:val="2"/>
        <w:rPr>
          <w:rFonts w:ascii="Times New Roman" w:hAnsi="Times New Roman" w:eastAsia="宋体" w:cs="Times New Roman"/>
          <w:b/>
          <w:bCs/>
          <w:color w:val="000000"/>
          <w:sz w:val="32"/>
          <w:szCs w:val="32"/>
          <w:highlight w:val="none"/>
        </w:rPr>
      </w:pPr>
      <w:bookmarkStart w:id="8" w:name="_Toc35393790"/>
      <w:bookmarkStart w:id="9" w:name="_Toc28359079"/>
      <w:bookmarkStart w:id="10" w:name="_Toc35393621"/>
      <w:bookmarkStart w:id="11" w:name="_Toc28359002"/>
      <w:bookmarkStart w:id="12" w:name="_Toc38985263"/>
      <w:bookmarkStart w:id="13" w:name="_Hlk24379207"/>
      <w:r>
        <w:rPr>
          <w:rFonts w:hint="eastAsia" w:ascii="Times New Roman" w:hAnsi="Times New Roman" w:eastAsia="宋体" w:cs="Times New Roman"/>
          <w:b/>
          <w:bCs/>
          <w:color w:val="000000"/>
          <w:sz w:val="32"/>
          <w:szCs w:val="32"/>
          <w:highlight w:val="none"/>
        </w:rPr>
        <w:t>一、项目基本情况</w:t>
      </w:r>
      <w:bookmarkEnd w:id="8"/>
      <w:bookmarkEnd w:id="9"/>
      <w:bookmarkEnd w:id="10"/>
      <w:bookmarkEnd w:id="11"/>
      <w:bookmarkEnd w:id="12"/>
    </w:p>
    <w:p w14:paraId="424945DC">
      <w:pPr>
        <w:spacing w:line="360" w:lineRule="auto"/>
        <w:ind w:firstLine="480"/>
        <w:jc w:val="left"/>
        <w:rPr>
          <w:rFonts w:hint="eastAsia" w:ascii="宋体" w:hAnsi="宋体" w:eastAsia="宋体" w:cs="Times New Roman"/>
          <w:color w:val="000000"/>
          <w:kern w:val="0"/>
          <w:sz w:val="24"/>
          <w:highlight w:val="none"/>
          <w:lang w:eastAsia="zh-CN"/>
        </w:rPr>
      </w:pPr>
      <w:r>
        <w:rPr>
          <w:rFonts w:hint="eastAsia" w:ascii="宋体" w:hAnsi="宋体" w:eastAsia="宋体" w:cs="Times New Roman"/>
          <w:color w:val="000000"/>
          <w:kern w:val="0"/>
          <w:sz w:val="24"/>
          <w:highlight w:val="none"/>
        </w:rPr>
        <w:t>1.项目编号：</w:t>
      </w:r>
      <w:r>
        <w:rPr>
          <w:rFonts w:hint="eastAsia" w:ascii="宋体" w:hAnsi="宋体" w:eastAsia="宋体" w:cs="Times New Roman"/>
          <w:color w:val="000000"/>
          <w:kern w:val="0"/>
          <w:sz w:val="24"/>
          <w:highlight w:val="none"/>
          <w:lang w:eastAsia="zh-CN"/>
        </w:rPr>
        <w:t>JSZC-320723-XHGS-G2025-0009</w:t>
      </w:r>
    </w:p>
    <w:p w14:paraId="1009F186">
      <w:pPr>
        <w:spacing w:line="360" w:lineRule="auto"/>
        <w:ind w:firstLine="480"/>
        <w:jc w:val="left"/>
        <w:rPr>
          <w:rFonts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2.项目名称：灌云县临港产业区化工园区VOCs综合治理能力提升服务项目（专门面向中小企业）</w:t>
      </w:r>
    </w:p>
    <w:bookmarkEnd w:id="13"/>
    <w:p w14:paraId="68836B08">
      <w:pPr>
        <w:spacing w:line="360" w:lineRule="auto"/>
        <w:ind w:firstLine="480"/>
        <w:jc w:val="left"/>
        <w:rPr>
          <w:rFonts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3.预算金额：550万元</w:t>
      </w:r>
    </w:p>
    <w:p w14:paraId="14AE0B71">
      <w:pPr>
        <w:spacing w:line="360" w:lineRule="auto"/>
        <w:ind w:firstLine="480"/>
        <w:jc w:val="left"/>
        <w:rPr>
          <w:rFonts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4.本项目设定（设定/不设定）最高限价，最高限价为</w:t>
      </w:r>
      <w:r>
        <w:rPr>
          <w:rFonts w:hint="eastAsia" w:ascii="宋体" w:hAnsi="宋体" w:eastAsia="宋体" w:cs="Times New Roman"/>
          <w:color w:val="000000"/>
          <w:kern w:val="0"/>
          <w:sz w:val="24"/>
          <w:highlight w:val="none"/>
          <w:lang w:val="en-US" w:eastAsia="zh-CN"/>
        </w:rPr>
        <w:t>495</w:t>
      </w:r>
      <w:r>
        <w:rPr>
          <w:rFonts w:hint="eastAsia" w:ascii="宋体" w:hAnsi="宋体" w:eastAsia="宋体" w:cs="Times New Roman"/>
          <w:color w:val="000000"/>
          <w:kern w:val="0"/>
          <w:sz w:val="24"/>
          <w:highlight w:val="none"/>
        </w:rPr>
        <w:t>万元，投标人所报的投标报价超过最高限价的投标无效。</w:t>
      </w:r>
    </w:p>
    <w:p w14:paraId="73F9B95A">
      <w:pPr>
        <w:spacing w:line="360" w:lineRule="auto"/>
        <w:ind w:firstLine="480"/>
        <w:jc w:val="left"/>
        <w:rPr>
          <w:rFonts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5.采购需求：灌云县临港产业区化工园区VOCs综合治理能力提升服务项目，按照《连云港市空气质量持续改善行动计划实施方案》要求，开展园区企业VOC排放指纹化管理，对园内涉VOCs排放企业治理“一企一策”动态开展评估更新，识别特征污染物，建立园内企业VOCs排放“指纹库”，同步建立全要素特征污染物名录库。委派专人紧盯数据，基于VOCs排放“指纹库”开展溯源分析处置，强化VOCs高值监管能力，在公共区域建设VOCs无组织排放自动监测能力;结合省级智慧化工园区建设标准，建设完善VOCs指纹化管理、精细溯源、特征污染物名录库、有毒有害气体、园区企业交互管理等信息化模块，支撑园区快速进行高值问题处置，开展长效管理。具体详见第四章“采购需求”。</w:t>
      </w:r>
    </w:p>
    <w:p w14:paraId="4E48A097">
      <w:pPr>
        <w:spacing w:line="360" w:lineRule="auto"/>
        <w:ind w:firstLine="480"/>
        <w:jc w:val="left"/>
        <w:rPr>
          <w:rFonts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6.服务期限：自合同签订起12个月内完成。</w:t>
      </w:r>
    </w:p>
    <w:p w14:paraId="5345941A">
      <w:pPr>
        <w:spacing w:line="360" w:lineRule="auto"/>
        <w:ind w:firstLine="480"/>
        <w:jc w:val="left"/>
        <w:rPr>
          <w:rFonts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7.本项目不接受联合体投标。</w:t>
      </w:r>
    </w:p>
    <w:p w14:paraId="2F4F7BB8">
      <w:pPr>
        <w:spacing w:line="360" w:lineRule="auto"/>
        <w:ind w:firstLine="480"/>
        <w:jc w:val="left"/>
        <w:rPr>
          <w:rFonts w:ascii="宋体" w:hAnsi="宋体" w:eastAsia="宋体" w:cs="Times New Roman"/>
          <w:color w:val="000000"/>
          <w:kern w:val="0"/>
          <w:sz w:val="24"/>
          <w:highlight w:val="none"/>
        </w:rPr>
      </w:pPr>
      <w:bookmarkStart w:id="14" w:name="_Toc28359003"/>
      <w:bookmarkStart w:id="15" w:name="_Toc28359080"/>
      <w:bookmarkStart w:id="16" w:name="_Toc35393622"/>
      <w:bookmarkStart w:id="17" w:name="_Toc38985264"/>
      <w:bookmarkStart w:id="18" w:name="_Toc35393791"/>
      <w:r>
        <w:rPr>
          <w:rFonts w:hint="eastAsia" w:ascii="宋体" w:hAnsi="宋体" w:eastAsia="宋体" w:cs="Times New Roman"/>
          <w:color w:val="000000"/>
          <w:kern w:val="0"/>
          <w:sz w:val="24"/>
          <w:highlight w:val="none"/>
        </w:rPr>
        <w:t>二、申请人的资格要求：</w:t>
      </w:r>
      <w:bookmarkEnd w:id="14"/>
      <w:bookmarkEnd w:id="15"/>
      <w:bookmarkEnd w:id="16"/>
      <w:bookmarkEnd w:id="17"/>
      <w:bookmarkEnd w:id="18"/>
    </w:p>
    <w:p w14:paraId="174A0642">
      <w:pPr>
        <w:ind w:firstLine="480"/>
        <w:rPr>
          <w:rFonts w:ascii="宋体" w:hAnsi="宋体" w:eastAsia="宋体" w:cs="Times New Roman"/>
          <w:color w:val="000000"/>
          <w:kern w:val="0"/>
          <w:sz w:val="24"/>
          <w:highlight w:val="none"/>
        </w:rPr>
      </w:pPr>
      <w:bookmarkStart w:id="19" w:name="_Toc35393623"/>
      <w:bookmarkStart w:id="20" w:name="_Toc38985265"/>
      <w:bookmarkStart w:id="21" w:name="_Toc28359081"/>
      <w:bookmarkStart w:id="22" w:name="_Toc28359004"/>
      <w:bookmarkStart w:id="23" w:name="_Toc35393792"/>
      <w:r>
        <w:rPr>
          <w:rFonts w:hint="eastAsia" w:ascii="宋体" w:hAnsi="宋体" w:eastAsia="宋体" w:cs="Times New Roman"/>
          <w:color w:val="000000"/>
          <w:kern w:val="0"/>
          <w:sz w:val="24"/>
          <w:highlight w:val="none"/>
        </w:rPr>
        <w:t>（一</w:t>
      </w:r>
      <w:r>
        <w:rPr>
          <w:rFonts w:ascii="宋体" w:hAnsi="宋体" w:eastAsia="宋体" w:cs="Times New Roman"/>
          <w:color w:val="000000"/>
          <w:kern w:val="0"/>
          <w:sz w:val="24"/>
          <w:highlight w:val="none"/>
        </w:rPr>
        <w:t>）</w:t>
      </w:r>
      <w:r>
        <w:rPr>
          <w:rFonts w:hint="eastAsia" w:ascii="宋体" w:hAnsi="宋体" w:eastAsia="宋体" w:cs="Times New Roman"/>
          <w:color w:val="000000"/>
          <w:kern w:val="0"/>
          <w:sz w:val="24"/>
          <w:highlight w:val="none"/>
        </w:rPr>
        <w:t>通用</w:t>
      </w:r>
      <w:r>
        <w:rPr>
          <w:rFonts w:ascii="宋体" w:hAnsi="宋体" w:eastAsia="宋体" w:cs="Times New Roman"/>
          <w:color w:val="000000"/>
          <w:kern w:val="0"/>
          <w:sz w:val="24"/>
          <w:highlight w:val="none"/>
        </w:rPr>
        <w:t>资格要求</w:t>
      </w:r>
    </w:p>
    <w:p w14:paraId="0DDEBF3D">
      <w:pPr>
        <w:ind w:firstLine="480"/>
        <w:rPr>
          <w:rFonts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1.满足《中华人民共和国政府采购法》第二十二条规定，并提供下列材料：</w:t>
      </w:r>
    </w:p>
    <w:p w14:paraId="0FD9D9C0">
      <w:pPr>
        <w:spacing w:line="360" w:lineRule="auto"/>
        <w:ind w:firstLine="480"/>
        <w:rPr>
          <w:rFonts w:hint="eastAsia"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(1)法人或者其他组织的营业执照等证明文件，自然人的身份证明（提供法人或者其他组织的营业执照等证明文件）；</w:t>
      </w:r>
    </w:p>
    <w:p w14:paraId="0F1FCF93">
      <w:pPr>
        <w:spacing w:line="360" w:lineRule="auto"/>
        <w:ind w:firstLine="480"/>
        <w:rPr>
          <w:rFonts w:hint="eastAsia"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(2)具有良好的商业信誉和健全的财务会计制度；</w:t>
      </w:r>
    </w:p>
    <w:p w14:paraId="7B1EA4C6">
      <w:pPr>
        <w:spacing w:line="360" w:lineRule="auto"/>
        <w:ind w:firstLine="480"/>
        <w:rPr>
          <w:rFonts w:hint="eastAsia"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(3)具备履行合同所必需的设备和专业技术能力的声明；</w:t>
      </w:r>
    </w:p>
    <w:p w14:paraId="576F013D">
      <w:pPr>
        <w:spacing w:line="360" w:lineRule="auto"/>
        <w:ind w:firstLine="480"/>
        <w:rPr>
          <w:rFonts w:hint="eastAsia"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(4)依法缴纳税收和社会保障资金的良好记录；</w:t>
      </w:r>
    </w:p>
    <w:p w14:paraId="77ED3E15">
      <w:pPr>
        <w:spacing w:line="360" w:lineRule="auto"/>
        <w:ind w:firstLine="480"/>
        <w:rPr>
          <w:rFonts w:hint="eastAsia"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(5)参加政府采购活动前三年内在经营活动中没有重大违法记录的声明；</w:t>
      </w:r>
    </w:p>
    <w:p w14:paraId="3BD90DF8">
      <w:pPr>
        <w:spacing w:line="360" w:lineRule="auto"/>
        <w:ind w:firstLine="480"/>
        <w:rPr>
          <w:rFonts w:hint="eastAsia"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(6)法律、行政法规规定的其他条件。</w:t>
      </w:r>
    </w:p>
    <w:p w14:paraId="004034F9">
      <w:pPr>
        <w:spacing w:line="360" w:lineRule="auto"/>
        <w:ind w:firstLine="480"/>
        <w:rPr>
          <w:rFonts w:hint="eastAsia"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注：根据连财购〔2023〕4号文件精神，第（2）、（4）项可以提供《财务状况报告及税收、社会保障资金缴纳情况承诺函》，详见招标文件投标文件格式。</w:t>
      </w:r>
    </w:p>
    <w:p w14:paraId="558C7846">
      <w:pPr>
        <w:spacing w:line="360" w:lineRule="auto"/>
        <w:ind w:firstLine="480"/>
        <w:jc w:val="left"/>
        <w:rPr>
          <w:rFonts w:hint="eastAsia"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7）投标文件递交截止前被“信用中国”网站、中国政府采购网网站列入失信执行人、重大税收违法案件当事人名单、政府采购严重违法失信行为记录名单的投标人，拒绝其参与政府采购活动（采购人将通过信用中国网站（www.creditchina.gov.cn）、中国政府采购网（www.ccgp.gov.cn），对投标人信用记录情况进行查询）。</w:t>
      </w:r>
    </w:p>
    <w:p w14:paraId="68FA10E6">
      <w:pPr>
        <w:spacing w:line="360" w:lineRule="auto"/>
        <w:ind w:firstLine="480"/>
        <w:jc w:val="left"/>
        <w:rPr>
          <w:rFonts w:ascii="宋体" w:hAnsi="宋体" w:eastAsia="宋体" w:cs="宋体"/>
          <w:color w:val="000000"/>
          <w:kern w:val="0"/>
          <w:sz w:val="24"/>
          <w:highlight w:val="none"/>
        </w:rPr>
      </w:pPr>
      <w:r>
        <w:rPr>
          <w:rFonts w:hint="eastAsia" w:ascii="宋体" w:hAnsi="宋体" w:eastAsia="宋体" w:cs="Times New Roman"/>
          <w:color w:val="000000"/>
          <w:kern w:val="0"/>
          <w:sz w:val="24"/>
          <w:highlight w:val="none"/>
        </w:rPr>
        <w:t>2.</w:t>
      </w:r>
      <w:r>
        <w:rPr>
          <w:rFonts w:hint="eastAsia" w:ascii="宋体" w:hAnsi="宋体" w:eastAsia="宋体" w:cs="宋体"/>
          <w:color w:val="000000"/>
          <w:kern w:val="0"/>
          <w:sz w:val="24"/>
          <w:highlight w:val="none"/>
        </w:rPr>
        <w:t>落实政府采购政策需满足的资格要求：根据财政部、工业和信息化部关于印发《政府采购促进中心企业发展管理办法》的通知（财库〔2020〕46号）等相关文件要求，本项目专门面向</w:t>
      </w:r>
      <w:r>
        <w:rPr>
          <w:rFonts w:hint="eastAsia" w:ascii="宋体" w:hAnsi="宋体" w:eastAsia="宋体" w:cs="宋体"/>
          <w:b/>
          <w:bCs/>
          <w:color w:val="000000"/>
          <w:kern w:val="0"/>
          <w:sz w:val="24"/>
          <w:highlight w:val="none"/>
        </w:rPr>
        <w:t>中型企业、小型企业、微型企业、残疾人福利性单位、监狱企业</w:t>
      </w:r>
      <w:r>
        <w:rPr>
          <w:rFonts w:hint="eastAsia" w:ascii="宋体" w:hAnsi="宋体" w:eastAsia="宋体" w:cs="宋体"/>
          <w:color w:val="000000"/>
          <w:kern w:val="0"/>
          <w:sz w:val="24"/>
          <w:highlight w:val="none"/>
        </w:rPr>
        <w:t>进行采购。（符合要求的投标人须提供《中小企业声明函》或《残疾人福利性单位声明函》或属于监狱企业的证明文件，否则投标无效）</w:t>
      </w:r>
    </w:p>
    <w:p w14:paraId="5C6726A3">
      <w:pPr>
        <w:spacing w:line="360" w:lineRule="auto"/>
        <w:ind w:firstLine="480"/>
        <w:jc w:val="left"/>
        <w:rPr>
          <w:rFonts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3.本项目的特定资格要求：无</w:t>
      </w:r>
    </w:p>
    <w:p w14:paraId="7C42284F">
      <w:pPr>
        <w:spacing w:line="360" w:lineRule="auto"/>
        <w:ind w:firstLine="480"/>
        <w:jc w:val="left"/>
        <w:rPr>
          <w:rFonts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4.本项目的其他资格要求：</w:t>
      </w:r>
    </w:p>
    <w:p w14:paraId="3613F8DB">
      <w:pPr>
        <w:spacing w:line="360" w:lineRule="auto"/>
        <w:ind w:firstLine="480"/>
        <w:jc w:val="left"/>
        <w:rPr>
          <w:rFonts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本项目不接受进口产品（进口产品是指通过中国海关报关验放进入中国境内且产自关境外的产品）投标，中标后不允许分包或转包。</w:t>
      </w:r>
    </w:p>
    <w:p w14:paraId="373EC0DA">
      <w:pPr>
        <w:spacing w:line="360" w:lineRule="auto"/>
        <w:ind w:firstLine="480"/>
        <w:jc w:val="left"/>
        <w:rPr>
          <w:rFonts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5.法律法规规定的其他条件。</w:t>
      </w:r>
    </w:p>
    <w:p w14:paraId="7D79361F">
      <w:pPr>
        <w:keepNext/>
        <w:keepLines/>
        <w:spacing w:before="145" w:after="145" w:line="360" w:lineRule="auto"/>
        <w:ind w:firstLine="498"/>
        <w:outlineLvl w:val="2"/>
        <w:rPr>
          <w:rFonts w:ascii="Times New Roman" w:hAnsi="Times New Roman" w:eastAsia="宋体" w:cs="Times New Roman"/>
          <w:b/>
          <w:bCs/>
          <w:color w:val="000000"/>
          <w:sz w:val="32"/>
          <w:szCs w:val="32"/>
          <w:highlight w:val="none"/>
        </w:rPr>
      </w:pPr>
      <w:r>
        <w:rPr>
          <w:rFonts w:hint="eastAsia" w:ascii="Times New Roman" w:hAnsi="Times New Roman" w:eastAsia="宋体" w:cs="Times New Roman"/>
          <w:b/>
          <w:bCs/>
          <w:color w:val="000000"/>
          <w:sz w:val="32"/>
          <w:szCs w:val="32"/>
          <w:highlight w:val="none"/>
        </w:rPr>
        <w:t>三、获取招标文件</w:t>
      </w:r>
      <w:bookmarkEnd w:id="19"/>
      <w:bookmarkEnd w:id="20"/>
      <w:bookmarkEnd w:id="21"/>
      <w:bookmarkEnd w:id="22"/>
      <w:bookmarkEnd w:id="23"/>
    </w:p>
    <w:p w14:paraId="2E1E35AE">
      <w:pPr>
        <w:spacing w:line="360" w:lineRule="auto"/>
        <w:ind w:firstLine="540"/>
        <w:rPr>
          <w:rFonts w:ascii="宋体" w:hAnsi="宋体" w:eastAsia="宋体" w:cs="宋体"/>
          <w:b/>
          <w:bCs/>
          <w:color w:val="000000"/>
          <w:kern w:val="0"/>
          <w:sz w:val="24"/>
          <w:highlight w:val="none"/>
        </w:rPr>
      </w:pPr>
      <w:bookmarkStart w:id="24" w:name="_Toc28359082"/>
      <w:bookmarkStart w:id="25" w:name="_Toc28359005"/>
      <w:bookmarkStart w:id="26" w:name="_Toc38985266"/>
      <w:bookmarkStart w:id="27" w:name="_Toc35393624"/>
      <w:bookmarkStart w:id="28" w:name="_Toc35393793"/>
      <w:r>
        <w:rPr>
          <w:rFonts w:hint="eastAsia" w:ascii="宋体" w:hAnsi="宋体" w:eastAsia="宋体" w:cs="宋体"/>
          <w:color w:val="000000"/>
          <w:kern w:val="0"/>
          <w:sz w:val="24"/>
          <w:szCs w:val="21"/>
          <w:highlight w:val="none"/>
        </w:rPr>
        <w:t>获取时间：</w:t>
      </w:r>
      <w:r>
        <w:rPr>
          <w:rFonts w:ascii="宋体" w:hAnsi="宋体" w:eastAsia="宋体" w:cs="宋体"/>
          <w:b/>
          <w:bCs/>
          <w:color w:val="000000"/>
          <w:kern w:val="0"/>
          <w:sz w:val="24"/>
          <w:szCs w:val="21"/>
          <w:highlight w:val="none"/>
        </w:rPr>
        <w:t>202</w:t>
      </w:r>
      <w:r>
        <w:rPr>
          <w:rFonts w:hint="eastAsia" w:ascii="宋体" w:hAnsi="宋体" w:eastAsia="宋体" w:cs="宋体"/>
          <w:b/>
          <w:bCs/>
          <w:color w:val="000000"/>
          <w:kern w:val="0"/>
          <w:sz w:val="24"/>
          <w:szCs w:val="21"/>
          <w:highlight w:val="none"/>
        </w:rPr>
        <w:t>5</w:t>
      </w:r>
      <w:r>
        <w:rPr>
          <w:rFonts w:ascii="宋体" w:hAnsi="宋体" w:eastAsia="宋体" w:cs="宋体"/>
          <w:b/>
          <w:bCs/>
          <w:color w:val="000000"/>
          <w:kern w:val="0"/>
          <w:sz w:val="24"/>
          <w:szCs w:val="21"/>
          <w:highlight w:val="none"/>
        </w:rPr>
        <w:t>年</w:t>
      </w:r>
      <w:r>
        <w:rPr>
          <w:rFonts w:hint="eastAsia" w:ascii="宋体" w:hAnsi="宋体" w:eastAsia="宋体" w:cs="宋体"/>
          <w:b/>
          <w:bCs/>
          <w:color w:val="000000"/>
          <w:kern w:val="0"/>
          <w:sz w:val="24"/>
          <w:szCs w:val="21"/>
          <w:highlight w:val="none"/>
          <w:lang w:val="en-US" w:eastAsia="zh-CN"/>
        </w:rPr>
        <w:t>12</w:t>
      </w:r>
      <w:r>
        <w:rPr>
          <w:rFonts w:ascii="宋体" w:hAnsi="宋体" w:eastAsia="宋体" w:cs="宋体"/>
          <w:b/>
          <w:bCs/>
          <w:color w:val="000000"/>
          <w:kern w:val="0"/>
          <w:sz w:val="24"/>
          <w:szCs w:val="21"/>
          <w:highlight w:val="none"/>
        </w:rPr>
        <w:t>月</w:t>
      </w:r>
      <w:r>
        <w:rPr>
          <w:rFonts w:hint="eastAsia" w:ascii="宋体" w:hAnsi="宋体" w:eastAsia="宋体" w:cs="宋体"/>
          <w:b/>
          <w:bCs/>
          <w:color w:val="000000"/>
          <w:kern w:val="0"/>
          <w:sz w:val="24"/>
          <w:szCs w:val="21"/>
          <w:highlight w:val="none"/>
          <w:lang w:val="en-US" w:eastAsia="zh-CN"/>
        </w:rPr>
        <w:t>2</w:t>
      </w:r>
      <w:r>
        <w:rPr>
          <w:rFonts w:ascii="宋体" w:hAnsi="宋体" w:eastAsia="宋体" w:cs="宋体"/>
          <w:b/>
          <w:bCs/>
          <w:color w:val="000000"/>
          <w:kern w:val="0"/>
          <w:sz w:val="24"/>
          <w:szCs w:val="21"/>
          <w:highlight w:val="none"/>
        </w:rPr>
        <w:t>日至202</w:t>
      </w:r>
      <w:r>
        <w:rPr>
          <w:rFonts w:hint="eastAsia" w:ascii="宋体" w:hAnsi="宋体" w:eastAsia="宋体" w:cs="宋体"/>
          <w:b/>
          <w:bCs/>
          <w:color w:val="000000"/>
          <w:kern w:val="0"/>
          <w:sz w:val="24"/>
          <w:szCs w:val="21"/>
          <w:highlight w:val="none"/>
        </w:rPr>
        <w:t>5</w:t>
      </w:r>
      <w:r>
        <w:rPr>
          <w:rFonts w:ascii="宋体" w:hAnsi="宋体" w:eastAsia="宋体" w:cs="宋体"/>
          <w:b/>
          <w:bCs/>
          <w:color w:val="000000"/>
          <w:kern w:val="0"/>
          <w:sz w:val="24"/>
          <w:szCs w:val="21"/>
          <w:highlight w:val="none"/>
        </w:rPr>
        <w:t>年</w:t>
      </w:r>
      <w:r>
        <w:rPr>
          <w:rFonts w:hint="eastAsia" w:ascii="宋体" w:hAnsi="宋体" w:eastAsia="宋体" w:cs="宋体"/>
          <w:b/>
          <w:bCs/>
          <w:color w:val="000000"/>
          <w:kern w:val="0"/>
          <w:sz w:val="24"/>
          <w:szCs w:val="21"/>
          <w:highlight w:val="none"/>
          <w:lang w:val="en-US" w:eastAsia="zh-CN"/>
        </w:rPr>
        <w:t>12</w:t>
      </w:r>
      <w:r>
        <w:rPr>
          <w:rFonts w:ascii="宋体" w:hAnsi="宋体" w:eastAsia="宋体" w:cs="宋体"/>
          <w:b/>
          <w:bCs/>
          <w:color w:val="000000"/>
          <w:kern w:val="0"/>
          <w:sz w:val="24"/>
          <w:szCs w:val="21"/>
          <w:highlight w:val="none"/>
        </w:rPr>
        <w:t>月</w:t>
      </w:r>
      <w:r>
        <w:rPr>
          <w:rFonts w:hint="eastAsia" w:ascii="宋体" w:hAnsi="宋体" w:eastAsia="宋体" w:cs="宋体"/>
          <w:b/>
          <w:bCs/>
          <w:color w:val="000000"/>
          <w:kern w:val="0"/>
          <w:sz w:val="24"/>
          <w:szCs w:val="21"/>
          <w:highlight w:val="none"/>
          <w:lang w:val="en-US" w:eastAsia="zh-CN"/>
        </w:rPr>
        <w:t>9</w:t>
      </w:r>
      <w:bookmarkStart w:id="170" w:name="_GoBack"/>
      <w:bookmarkEnd w:id="170"/>
      <w:r>
        <w:rPr>
          <w:rFonts w:ascii="宋体" w:hAnsi="宋体" w:eastAsia="宋体" w:cs="宋体"/>
          <w:b/>
          <w:bCs/>
          <w:color w:val="000000"/>
          <w:kern w:val="0"/>
          <w:sz w:val="24"/>
          <w:szCs w:val="21"/>
          <w:highlight w:val="none"/>
        </w:rPr>
        <w:t>日</w:t>
      </w:r>
      <w:r>
        <w:rPr>
          <w:rFonts w:hint="eastAsia" w:ascii="宋体" w:hAnsi="宋体" w:eastAsia="宋体" w:cs="宋体"/>
          <w:b/>
          <w:bCs/>
          <w:color w:val="000000"/>
          <w:kern w:val="0"/>
          <w:sz w:val="24"/>
          <w:szCs w:val="21"/>
          <w:highlight w:val="none"/>
        </w:rPr>
        <w:t>00</w:t>
      </w:r>
      <w:r>
        <w:rPr>
          <w:rFonts w:ascii="宋体" w:hAnsi="宋体" w:eastAsia="宋体" w:cs="宋体"/>
          <w:b/>
          <w:bCs/>
          <w:color w:val="000000"/>
          <w:kern w:val="0"/>
          <w:sz w:val="24"/>
          <w:szCs w:val="21"/>
          <w:highlight w:val="none"/>
        </w:rPr>
        <w:t>时</w:t>
      </w:r>
      <w:r>
        <w:rPr>
          <w:rFonts w:hint="eastAsia" w:ascii="宋体" w:hAnsi="宋体" w:eastAsia="宋体" w:cs="宋体"/>
          <w:b/>
          <w:bCs/>
          <w:color w:val="000000"/>
          <w:kern w:val="0"/>
          <w:sz w:val="24"/>
          <w:szCs w:val="21"/>
          <w:highlight w:val="none"/>
        </w:rPr>
        <w:t>00</w:t>
      </w:r>
      <w:r>
        <w:rPr>
          <w:rFonts w:ascii="宋体" w:hAnsi="宋体" w:eastAsia="宋体" w:cs="宋体"/>
          <w:b/>
          <w:bCs/>
          <w:color w:val="000000"/>
          <w:kern w:val="0"/>
          <w:sz w:val="24"/>
          <w:szCs w:val="21"/>
          <w:highlight w:val="none"/>
        </w:rPr>
        <w:t>分</w:t>
      </w:r>
    </w:p>
    <w:p w14:paraId="57FE15C6">
      <w:pPr>
        <w:numPr>
          <w:ilvl w:val="0"/>
          <w:numId w:val="3"/>
        </w:numPr>
        <w:spacing w:line="360" w:lineRule="auto"/>
        <w:ind w:firstLine="540"/>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方式：在“江苏政府采购网”自行免费下载招标文件。</w:t>
      </w:r>
    </w:p>
    <w:p w14:paraId="4996244C">
      <w:pPr>
        <w:spacing w:line="360" w:lineRule="auto"/>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 xml:space="preserve">    （1）潜在供应商访问电子招标投标交易平台的网络地址和方法：</w:t>
      </w:r>
    </w:p>
    <w:p w14:paraId="1FFB4982">
      <w:pPr>
        <w:spacing w:line="360" w:lineRule="auto"/>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①登录http://jszfcg.jsczt.cn/ ，或进入江苏政府采购网，点击“苏采云”进入系统。</w:t>
      </w:r>
    </w:p>
    <w:p w14:paraId="063FC829">
      <w:pPr>
        <w:spacing w:line="360" w:lineRule="auto"/>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②“苏采云”系统用户注册-获取“CA数字证书”-CA绑定与登录-网上报名-下载采购文件(后缀名为“.kedt”)-将后缀名为“.kedt”的采购文件导入政府采购客户端工具-制作响应文件--导出加密的响应文件(后缀名为zip)--通过“苏采云”系统上传投标文件。具体见《江苏省政府采购管理交易系统(苏采云)供应商操作手册》。</w:t>
      </w:r>
    </w:p>
    <w:p w14:paraId="57EE8EC1">
      <w:pPr>
        <w:spacing w:line="360" w:lineRule="auto"/>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③潜在供应商访问“苏采云”系统的网络地址和方法:“苏采云”系统的网址:http://jszfcg.jsczt.cn/。</w:t>
      </w:r>
    </w:p>
    <w:p w14:paraId="75E7755A">
      <w:pPr>
        <w:spacing w:line="360" w:lineRule="auto"/>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④“CA数字证书”的获取:供应商需办理CA锁，“苏采云”系统目前仅支持政务CA、方正签章，省内各地区办理的用于“苏采云”平台的政务CA、方正签章全省通用。“CA数字证书”的办理方法详见《江苏省政府采购数字证书(供应商)CA及电子签章办理指南》。</w:t>
      </w:r>
    </w:p>
    <w:p w14:paraId="4B8DE578">
      <w:pPr>
        <w:spacing w:line="360" w:lineRule="auto"/>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⑤采购文件(后缀名为“.kedt”)、供应商操作手册及政府采购客户端工具可通过“苏采云”系统--已报名项目--报名详情页面内相应链接进行下载。</w:t>
      </w:r>
    </w:p>
    <w:p w14:paraId="1DA91C77">
      <w:pPr>
        <w:spacing w:line="360" w:lineRule="auto"/>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⑥招标代理机构(采购代理机构)将数据电文形式的采购文件加载至“苏采云”系统，供潜在供应商下载或者查阅。</w:t>
      </w:r>
    </w:p>
    <w:p w14:paraId="7BB5BBF9">
      <w:pPr>
        <w:spacing w:line="360" w:lineRule="auto"/>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⑦请潜在投标单位提前安装相应的控件(详见《江苏省政府采购管理交易系统(苏采云)供应商操作手册&gt;)并使用谷歌浏览器登录“苏采云”系统参与不见面开评标。</w:t>
      </w:r>
    </w:p>
    <w:p w14:paraId="05F928E3">
      <w:pPr>
        <w:spacing w:line="360" w:lineRule="auto"/>
        <w:ind w:firstLine="540"/>
        <w:rPr>
          <w:rFonts w:ascii="宋体" w:hAnsi="宋体" w:eastAsia="宋体" w:cs="宋体"/>
          <w:color w:val="000000"/>
          <w:kern w:val="0"/>
          <w:sz w:val="24"/>
          <w:highlight w:val="none"/>
        </w:rPr>
      </w:pPr>
      <w:r>
        <w:rPr>
          <w:rFonts w:hint="eastAsia" w:ascii="宋体" w:hAnsi="宋体" w:eastAsia="宋体" w:cs="宋体"/>
          <w:b/>
          <w:bCs/>
          <w:color w:val="000000"/>
          <w:kern w:val="0"/>
          <w:sz w:val="24"/>
          <w:highlight w:val="none"/>
        </w:rPr>
        <w:t>注:如潜在投标人未按上述要求操作，将自行承担所产生的风险。</w:t>
      </w:r>
    </w:p>
    <w:p w14:paraId="42A22F75">
      <w:pPr>
        <w:keepNext/>
        <w:keepLines/>
        <w:spacing w:before="145" w:after="145" w:line="360" w:lineRule="auto"/>
        <w:ind w:firstLine="321"/>
        <w:outlineLvl w:val="2"/>
        <w:rPr>
          <w:rFonts w:ascii="Times New Roman" w:hAnsi="Times New Roman" w:eastAsia="宋体" w:cs="Times New Roman"/>
          <w:b/>
          <w:bCs/>
          <w:color w:val="000000"/>
          <w:sz w:val="32"/>
          <w:szCs w:val="32"/>
          <w:highlight w:val="none"/>
        </w:rPr>
      </w:pPr>
      <w:r>
        <w:rPr>
          <w:rFonts w:hint="eastAsia" w:ascii="Times New Roman" w:hAnsi="Times New Roman" w:eastAsia="宋体" w:cs="Times New Roman"/>
          <w:b/>
          <w:bCs/>
          <w:color w:val="000000"/>
          <w:sz w:val="32"/>
          <w:szCs w:val="32"/>
          <w:highlight w:val="none"/>
        </w:rPr>
        <w:t>四、提交投标文件</w:t>
      </w:r>
      <w:bookmarkEnd w:id="24"/>
      <w:bookmarkEnd w:id="25"/>
      <w:r>
        <w:rPr>
          <w:rFonts w:hint="eastAsia" w:ascii="Times New Roman" w:hAnsi="Times New Roman" w:eastAsia="宋体" w:cs="Times New Roman"/>
          <w:b/>
          <w:bCs/>
          <w:color w:val="000000"/>
          <w:sz w:val="32"/>
          <w:szCs w:val="32"/>
          <w:highlight w:val="none"/>
        </w:rPr>
        <w:t>截止时间、开标时间和地点</w:t>
      </w:r>
      <w:bookmarkEnd w:id="26"/>
      <w:bookmarkEnd w:id="27"/>
      <w:bookmarkEnd w:id="28"/>
    </w:p>
    <w:p w14:paraId="63036EAC">
      <w:pPr>
        <w:ind w:firstLine="480"/>
        <w:rPr>
          <w:rFonts w:ascii="宋体" w:hAnsi="宋体" w:eastAsia="宋体" w:cs="Times New Roman"/>
          <w:bCs/>
          <w:color w:val="000000"/>
          <w:kern w:val="0"/>
          <w:sz w:val="24"/>
          <w:highlight w:val="none"/>
          <w:u w:val="single"/>
        </w:rPr>
      </w:pPr>
      <w:r>
        <w:rPr>
          <w:rFonts w:hint="eastAsia" w:ascii="宋体" w:hAnsi="宋体" w:eastAsia="宋体" w:cs="Times New Roman"/>
          <w:bCs/>
          <w:color w:val="000000"/>
          <w:kern w:val="0"/>
          <w:sz w:val="24"/>
          <w:highlight w:val="none"/>
          <w:u w:val="single"/>
        </w:rPr>
        <w:t>1.投标文件接收截止时间：</w:t>
      </w:r>
      <w:r>
        <w:rPr>
          <w:rFonts w:hint="eastAsia" w:ascii="宋体" w:hAnsi="宋体" w:eastAsia="宋体" w:cs="Times New Roman"/>
          <w:b/>
          <w:color w:val="000000"/>
          <w:kern w:val="0"/>
          <w:sz w:val="24"/>
          <w:highlight w:val="none"/>
          <w:u w:val="single"/>
        </w:rPr>
        <w:t>2025年</w:t>
      </w:r>
      <w:r>
        <w:rPr>
          <w:rFonts w:hint="eastAsia" w:ascii="宋体" w:hAnsi="宋体" w:eastAsia="宋体" w:cs="Times New Roman"/>
          <w:b/>
          <w:color w:val="000000"/>
          <w:kern w:val="0"/>
          <w:sz w:val="24"/>
          <w:highlight w:val="none"/>
          <w:u w:val="single"/>
          <w:lang w:val="en-US" w:eastAsia="zh-CN"/>
        </w:rPr>
        <w:t>12</w:t>
      </w:r>
      <w:r>
        <w:rPr>
          <w:rFonts w:hint="eastAsia" w:ascii="宋体" w:hAnsi="宋体" w:eastAsia="宋体" w:cs="Times New Roman"/>
          <w:b/>
          <w:color w:val="000000"/>
          <w:kern w:val="0"/>
          <w:sz w:val="24"/>
          <w:highlight w:val="none"/>
          <w:u w:val="single"/>
        </w:rPr>
        <w:t>月</w:t>
      </w:r>
      <w:r>
        <w:rPr>
          <w:rFonts w:hint="eastAsia" w:ascii="宋体" w:hAnsi="宋体" w:eastAsia="宋体" w:cs="Times New Roman"/>
          <w:b/>
          <w:color w:val="000000"/>
          <w:kern w:val="0"/>
          <w:sz w:val="24"/>
          <w:highlight w:val="none"/>
          <w:u w:val="single"/>
          <w:lang w:val="en-US" w:eastAsia="zh-CN"/>
        </w:rPr>
        <w:t>22</w:t>
      </w:r>
      <w:r>
        <w:rPr>
          <w:rFonts w:hint="eastAsia" w:ascii="宋体" w:hAnsi="宋体" w:eastAsia="宋体" w:cs="Times New Roman"/>
          <w:b/>
          <w:color w:val="000000"/>
          <w:kern w:val="0"/>
          <w:sz w:val="24"/>
          <w:highlight w:val="none"/>
          <w:u w:val="single"/>
        </w:rPr>
        <w:t>日10点00分</w:t>
      </w:r>
      <w:r>
        <w:rPr>
          <w:rFonts w:hint="eastAsia" w:ascii="宋体" w:hAnsi="宋体" w:eastAsia="宋体" w:cs="Times New Roman"/>
          <w:bCs/>
          <w:color w:val="000000"/>
          <w:kern w:val="0"/>
          <w:sz w:val="24"/>
          <w:highlight w:val="none"/>
        </w:rPr>
        <w:t>（北京时间）</w:t>
      </w:r>
    </w:p>
    <w:p w14:paraId="15B9AE27">
      <w:pPr>
        <w:ind w:firstLine="480"/>
        <w:rPr>
          <w:rFonts w:ascii="宋体" w:hAnsi="宋体" w:eastAsia="宋体" w:cs="Times New Roman"/>
          <w:bCs/>
          <w:color w:val="000000"/>
          <w:kern w:val="0"/>
          <w:sz w:val="24"/>
          <w:highlight w:val="none"/>
          <w:u w:val="single"/>
        </w:rPr>
      </w:pPr>
      <w:r>
        <w:rPr>
          <w:rFonts w:hint="eastAsia" w:ascii="宋体" w:hAnsi="宋体" w:eastAsia="宋体" w:cs="Times New Roman"/>
          <w:color w:val="000000"/>
          <w:kern w:val="0"/>
          <w:sz w:val="24"/>
          <w:highlight w:val="none"/>
        </w:rPr>
        <w:t>2.地点：“苏采云”政府采购交易系统网上开标大厅。</w:t>
      </w:r>
    </w:p>
    <w:p w14:paraId="0F5AD6B4">
      <w:pPr>
        <w:keepNext/>
        <w:keepLines/>
        <w:spacing w:before="145" w:after="145" w:line="360" w:lineRule="auto"/>
        <w:ind w:firstLine="498"/>
        <w:outlineLvl w:val="2"/>
        <w:rPr>
          <w:rFonts w:ascii="Times New Roman" w:hAnsi="Times New Roman" w:eastAsia="宋体" w:cs="Times New Roman"/>
          <w:b/>
          <w:bCs/>
          <w:color w:val="000000"/>
          <w:sz w:val="32"/>
          <w:szCs w:val="32"/>
          <w:highlight w:val="none"/>
        </w:rPr>
      </w:pPr>
      <w:bookmarkStart w:id="29" w:name="_Toc28359084"/>
      <w:bookmarkStart w:id="30" w:name="_Toc35393794"/>
      <w:bookmarkStart w:id="31" w:name="_Toc28359007"/>
      <w:bookmarkStart w:id="32" w:name="_Toc38985267"/>
      <w:bookmarkStart w:id="33" w:name="_Toc35393625"/>
      <w:r>
        <w:rPr>
          <w:rFonts w:hint="eastAsia" w:ascii="Times New Roman" w:hAnsi="Times New Roman" w:eastAsia="宋体" w:cs="Times New Roman"/>
          <w:b/>
          <w:bCs/>
          <w:color w:val="000000"/>
          <w:sz w:val="32"/>
          <w:szCs w:val="32"/>
          <w:highlight w:val="none"/>
        </w:rPr>
        <w:t>五、公告期限</w:t>
      </w:r>
      <w:bookmarkEnd w:id="29"/>
      <w:bookmarkEnd w:id="30"/>
      <w:bookmarkEnd w:id="31"/>
      <w:bookmarkEnd w:id="32"/>
      <w:bookmarkEnd w:id="33"/>
    </w:p>
    <w:p w14:paraId="2AEB6446">
      <w:pPr>
        <w:ind w:firstLine="480"/>
        <w:rPr>
          <w:rFonts w:ascii="宋体" w:hAnsi="宋体" w:eastAsia="宋体" w:cs="宋体"/>
          <w:color w:val="000000"/>
          <w:kern w:val="0"/>
          <w:sz w:val="24"/>
          <w:highlight w:val="none"/>
        </w:rPr>
      </w:pPr>
      <w:bookmarkStart w:id="34" w:name="_Toc35393795"/>
      <w:bookmarkStart w:id="35" w:name="_Toc38985268"/>
      <w:bookmarkStart w:id="36" w:name="_Toc35393626"/>
      <w:r>
        <w:rPr>
          <w:rFonts w:hint="eastAsia" w:ascii="宋体" w:hAnsi="宋体" w:eastAsia="宋体" w:cs="宋体"/>
          <w:color w:val="000000"/>
          <w:kern w:val="0"/>
          <w:sz w:val="24"/>
          <w:highlight w:val="none"/>
        </w:rPr>
        <w:t>自本公告发布之日起5个工作日。</w:t>
      </w:r>
    </w:p>
    <w:p w14:paraId="2372A3B4">
      <w:pPr>
        <w:keepNext/>
        <w:keepLines/>
        <w:spacing w:before="145" w:after="145" w:line="360" w:lineRule="auto"/>
        <w:ind w:firstLine="498"/>
        <w:outlineLvl w:val="2"/>
        <w:rPr>
          <w:rFonts w:ascii="Times New Roman" w:hAnsi="Times New Roman" w:eastAsia="宋体" w:cs="Times New Roman"/>
          <w:b/>
          <w:bCs/>
          <w:color w:val="000000"/>
          <w:sz w:val="32"/>
          <w:szCs w:val="32"/>
          <w:highlight w:val="none"/>
        </w:rPr>
      </w:pPr>
      <w:r>
        <w:rPr>
          <w:rFonts w:hint="eastAsia" w:ascii="Times New Roman" w:hAnsi="Times New Roman" w:eastAsia="宋体" w:cs="Times New Roman"/>
          <w:b/>
          <w:bCs/>
          <w:color w:val="000000"/>
          <w:sz w:val="32"/>
          <w:szCs w:val="32"/>
          <w:highlight w:val="none"/>
        </w:rPr>
        <w:t>六、其他补充事宜</w:t>
      </w:r>
      <w:bookmarkEnd w:id="34"/>
      <w:bookmarkEnd w:id="35"/>
      <w:bookmarkEnd w:id="36"/>
    </w:p>
    <w:p w14:paraId="5716D0E8">
      <w:pPr>
        <w:spacing w:line="360" w:lineRule="auto"/>
        <w:ind w:firstLine="480"/>
        <w:jc w:val="left"/>
        <w:rPr>
          <w:rFonts w:hint="eastAsia" w:ascii="宋体" w:hAnsi="宋体" w:eastAsia="宋体" w:cs="Times New Roman"/>
          <w:color w:val="000000"/>
          <w:kern w:val="0"/>
          <w:sz w:val="24"/>
          <w:highlight w:val="none"/>
        </w:rPr>
      </w:pPr>
      <w:bookmarkStart w:id="37" w:name="_Toc35393796"/>
      <w:bookmarkStart w:id="38" w:name="_Toc38985269"/>
      <w:bookmarkStart w:id="39" w:name="_Toc28359008"/>
      <w:bookmarkStart w:id="40" w:name="_Toc28359085"/>
      <w:bookmarkStart w:id="41" w:name="_Toc35393627"/>
      <w:r>
        <w:rPr>
          <w:rFonts w:hint="eastAsia" w:ascii="宋体" w:hAnsi="宋体" w:eastAsia="宋体" w:cs="Times New Roman"/>
          <w:color w:val="000000"/>
          <w:kern w:val="0"/>
          <w:sz w:val="24"/>
          <w:highlight w:val="none"/>
        </w:rPr>
        <w:t>1、本招标文件中标注★的款项为实质性响应要求和条件，如不满足将按无效投标处理。</w:t>
      </w:r>
    </w:p>
    <w:p w14:paraId="21E9E146">
      <w:pPr>
        <w:spacing w:line="360" w:lineRule="auto"/>
        <w:ind w:firstLine="480"/>
        <w:jc w:val="left"/>
        <w:rPr>
          <w:rFonts w:hint="eastAsia"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2、无论出于何种原因，采购人在采购活动开始前可对招标文件进行修改、补充或变更，其内容作为招标文件的重要组成部分，请各投标人关注江苏政府采购网。若因投标人自身原因未及时关注本项目有关修改、补充或变更信息，导致投标文件编制或提交失误，由此造成的一切损失由投标人自行承担。</w:t>
      </w:r>
    </w:p>
    <w:p w14:paraId="5056B063">
      <w:pPr>
        <w:spacing w:line="360" w:lineRule="auto"/>
        <w:ind w:firstLine="480"/>
        <w:jc w:val="left"/>
        <w:rPr>
          <w:rFonts w:hint="eastAsia"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3、投标人制作投标文件时如遇投标工具中投标格式与招标文件不一致，请投标人按照招标文件中投标格式要求编制一份投标文件资料添加在投标工具其他材料中。</w:t>
      </w:r>
    </w:p>
    <w:p w14:paraId="26F47705">
      <w:pPr>
        <w:spacing w:line="360" w:lineRule="auto"/>
        <w:ind w:firstLine="480"/>
        <w:jc w:val="left"/>
        <w:rPr>
          <w:rFonts w:hint="eastAsia"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4、根据苏财购[2020]52号规定，本项目不收取投标保证金。</w:t>
      </w:r>
    </w:p>
    <w:p w14:paraId="2A41F0DE">
      <w:pPr>
        <w:spacing w:line="360" w:lineRule="auto"/>
        <w:ind w:firstLine="480"/>
        <w:jc w:val="left"/>
        <w:rPr>
          <w:rFonts w:hint="eastAsia"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5、投标文件相关要求：</w:t>
      </w:r>
    </w:p>
    <w:p w14:paraId="4AA5F63E">
      <w:pPr>
        <w:spacing w:line="360" w:lineRule="auto"/>
        <w:ind w:firstLine="480"/>
        <w:jc w:val="left"/>
        <w:rPr>
          <w:rFonts w:hint="eastAsia"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①本项目采用不见面远程模式，投标人在各自地点通过不见面交易系统参加开标会；</w:t>
      </w:r>
    </w:p>
    <w:p w14:paraId="233159DB">
      <w:pPr>
        <w:spacing w:line="360" w:lineRule="auto"/>
        <w:ind w:firstLine="480"/>
        <w:jc w:val="left"/>
        <w:rPr>
          <w:rFonts w:hint="eastAsia"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②请各投标人充分考虑项目周期，谨慎参与交易，中标后不得以任何理由放弃中标资格或不按规定履约；</w:t>
      </w:r>
    </w:p>
    <w:p w14:paraId="3B27B036">
      <w:pPr>
        <w:spacing w:line="360" w:lineRule="auto"/>
        <w:ind w:firstLine="480"/>
        <w:jc w:val="left"/>
        <w:rPr>
          <w:rFonts w:hint="eastAsia"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③逾期上传投标文件的，采购人不予受理；</w:t>
      </w:r>
    </w:p>
    <w:p w14:paraId="4B496B0D">
      <w:pPr>
        <w:spacing w:line="360" w:lineRule="auto"/>
        <w:ind w:firstLine="480"/>
        <w:jc w:val="left"/>
        <w:rPr>
          <w:rFonts w:hint="eastAsia"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④中标后中标人按以下要求提供书面投标文件：</w:t>
      </w:r>
    </w:p>
    <w:p w14:paraId="16B44C20">
      <w:pPr>
        <w:spacing w:line="360" w:lineRule="auto"/>
        <w:ind w:firstLine="480"/>
        <w:jc w:val="left"/>
        <w:rPr>
          <w:rFonts w:hint="eastAsia"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中标人提供的书面投标文件必须与网络上传投标文件（加密文件）一致，纸质与电子标书内容不一致的，以电子标书为准；投标文件应用不褪色的材料书写或打印，并由投标人的法定代表人或其委托代理人签字或盖单位章。委托代理人签字的，投标文件应附法定代表人签署的授权委托书。投标文件应尽量避免涂改、行间插字或删除。如果出现上述情况，改动之处应加盖单位章或由投标人的法定代表人或其授权的代理人签字确认；投标文件正本一份，副本份，电子标书一份（U盘形式、不加密无毒），中标后提供。正本和副本的封面上应清楚地标记“正本”或“副本”的字样（带页码）。</w:t>
      </w:r>
    </w:p>
    <w:p w14:paraId="3C55F83E">
      <w:pPr>
        <w:spacing w:line="360" w:lineRule="auto"/>
        <w:ind w:firstLine="480"/>
        <w:jc w:val="left"/>
        <w:rPr>
          <w:rFonts w:hint="eastAsia"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为保证交互效果，建议投标人选择封闭安静的地点参与远程交互。因投标人自身软硬件配备不齐全或发生故障等问题而导致在交互过程中出现不稳定或中断等情况的，由投标人自身承担一切后果。</w:t>
      </w:r>
    </w:p>
    <w:p w14:paraId="5C2EBD0D">
      <w:pPr>
        <w:keepNext/>
        <w:keepLines/>
        <w:spacing w:before="145" w:after="145" w:line="360" w:lineRule="auto"/>
        <w:ind w:firstLine="498"/>
        <w:outlineLvl w:val="2"/>
        <w:rPr>
          <w:rFonts w:hint="eastAsia" w:ascii="Times New Roman" w:hAnsi="Times New Roman" w:eastAsia="宋体" w:cs="Times New Roman"/>
          <w:b/>
          <w:bCs/>
          <w:color w:val="000000"/>
          <w:sz w:val="32"/>
          <w:szCs w:val="32"/>
          <w:highlight w:val="none"/>
        </w:rPr>
      </w:pPr>
      <w:r>
        <w:rPr>
          <w:rFonts w:hint="eastAsia" w:ascii="宋体" w:hAnsi="宋体" w:eastAsia="宋体" w:cs="Times New Roman"/>
          <w:color w:val="000000"/>
          <w:kern w:val="0"/>
          <w:sz w:val="24"/>
          <w:highlight w:val="none"/>
        </w:rPr>
        <w:t>注：投标人在签到时，需填写单位名称、项目负责人姓名，手机号码（手机号码务必能打通，否则答疑联系不上产生的所有后果由投标人自行承担）。</w:t>
      </w:r>
    </w:p>
    <w:p w14:paraId="1985ECD7">
      <w:pPr>
        <w:keepNext/>
        <w:keepLines/>
        <w:spacing w:before="145" w:after="145" w:line="360" w:lineRule="auto"/>
        <w:ind w:firstLine="498"/>
        <w:outlineLvl w:val="2"/>
        <w:rPr>
          <w:rFonts w:ascii="Times New Roman" w:hAnsi="Times New Roman" w:eastAsia="宋体" w:cs="Times New Roman"/>
          <w:b/>
          <w:bCs/>
          <w:color w:val="000000"/>
          <w:sz w:val="32"/>
          <w:szCs w:val="32"/>
          <w:highlight w:val="none"/>
        </w:rPr>
      </w:pPr>
      <w:r>
        <w:rPr>
          <w:rFonts w:hint="eastAsia" w:ascii="Times New Roman" w:hAnsi="Times New Roman" w:eastAsia="宋体" w:cs="Times New Roman"/>
          <w:b/>
          <w:bCs/>
          <w:color w:val="000000"/>
          <w:sz w:val="32"/>
          <w:szCs w:val="32"/>
          <w:highlight w:val="none"/>
        </w:rPr>
        <w:t>七、本次招标联系方式</w:t>
      </w:r>
      <w:bookmarkEnd w:id="37"/>
      <w:bookmarkEnd w:id="38"/>
      <w:bookmarkEnd w:id="39"/>
      <w:bookmarkEnd w:id="40"/>
      <w:bookmarkEnd w:id="41"/>
    </w:p>
    <w:p w14:paraId="41DBAA34">
      <w:pPr>
        <w:widowControl/>
        <w:jc w:val="left"/>
        <w:rPr>
          <w:rFonts w:ascii="宋体" w:hAnsi="宋体" w:eastAsia="宋体" w:cs="宋体"/>
          <w:color w:val="000000"/>
          <w:kern w:val="0"/>
          <w:sz w:val="24"/>
          <w:highlight w:val="none"/>
        </w:rPr>
      </w:pPr>
      <w:r>
        <w:rPr>
          <w:rFonts w:hint="eastAsia" w:ascii="仿宋" w:hAnsi="仿宋" w:eastAsia="仿宋" w:cs="宋体"/>
          <w:color w:val="000000"/>
          <w:kern w:val="0"/>
          <w:sz w:val="28"/>
          <w:szCs w:val="28"/>
          <w:highlight w:val="none"/>
        </w:rPr>
        <w:t>　　　</w:t>
      </w:r>
      <w:r>
        <w:rPr>
          <w:rFonts w:hint="eastAsia" w:ascii="宋体" w:hAnsi="宋体" w:eastAsia="宋体" w:cs="宋体"/>
          <w:color w:val="000000"/>
          <w:kern w:val="0"/>
          <w:sz w:val="24"/>
          <w:highlight w:val="none"/>
        </w:rPr>
        <w:t>1.采购人信息</w:t>
      </w:r>
    </w:p>
    <w:p w14:paraId="231D6C47">
      <w:pPr>
        <w:widowControl/>
        <w:jc w:val="left"/>
        <w:rPr>
          <w:rFonts w:ascii="宋体" w:hAnsi="宋体" w:eastAsia="宋体" w:cs="宋体"/>
          <w:color w:val="000000"/>
          <w:kern w:val="0"/>
          <w:sz w:val="24"/>
          <w:highlight w:val="none"/>
        </w:rPr>
      </w:pPr>
    </w:p>
    <w:p w14:paraId="3ACF9C09">
      <w:pPr>
        <w:spacing w:line="360" w:lineRule="auto"/>
        <w:ind w:firstLine="720"/>
        <w:jc w:val="left"/>
        <w:rPr>
          <w:rFonts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名 称：灌云县临港产业区管理办公室　　</w:t>
      </w:r>
    </w:p>
    <w:p w14:paraId="49A1E09B">
      <w:pPr>
        <w:spacing w:line="360" w:lineRule="auto"/>
        <w:ind w:firstLine="720"/>
        <w:jc w:val="left"/>
        <w:rPr>
          <w:rFonts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地址：连云港市灌云县　　</w:t>
      </w:r>
    </w:p>
    <w:p w14:paraId="62328441">
      <w:pPr>
        <w:spacing w:line="360" w:lineRule="auto"/>
        <w:ind w:firstLine="720"/>
        <w:jc w:val="left"/>
        <w:rPr>
          <w:rFonts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 xml:space="preserve">联系人： 付科长   </w:t>
      </w:r>
    </w:p>
    <w:p w14:paraId="4708ABAC">
      <w:pPr>
        <w:spacing w:line="360" w:lineRule="auto"/>
        <w:ind w:firstLine="720"/>
        <w:jc w:val="left"/>
        <w:rPr>
          <w:rFonts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联系方式：</w:t>
      </w:r>
      <w:bookmarkStart w:id="42" w:name="_Toc28359009"/>
      <w:bookmarkStart w:id="43" w:name="_Toc28359086"/>
      <w:r>
        <w:rPr>
          <w:rFonts w:hint="eastAsia" w:ascii="宋体" w:hAnsi="宋体" w:eastAsia="宋体" w:cs="Times New Roman"/>
          <w:color w:val="000000"/>
          <w:kern w:val="0"/>
          <w:sz w:val="24"/>
          <w:highlight w:val="none"/>
        </w:rPr>
        <w:t>15351888102</w:t>
      </w:r>
    </w:p>
    <w:bookmarkEnd w:id="42"/>
    <w:bookmarkEnd w:id="43"/>
    <w:p w14:paraId="32AEBB34">
      <w:pPr>
        <w:spacing w:line="360" w:lineRule="auto"/>
        <w:ind w:firstLine="720"/>
        <w:rPr>
          <w:rFonts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2.采购代理机构信息</w:t>
      </w:r>
    </w:p>
    <w:p w14:paraId="74508BEF">
      <w:pPr>
        <w:spacing w:line="360" w:lineRule="auto"/>
        <w:ind w:firstLine="720"/>
        <w:rPr>
          <w:rFonts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名称：连云港新宏项目管理有限公司</w:t>
      </w:r>
    </w:p>
    <w:p w14:paraId="51154C0E">
      <w:pPr>
        <w:spacing w:line="360" w:lineRule="auto"/>
        <w:ind w:firstLine="720"/>
        <w:jc w:val="left"/>
        <w:rPr>
          <w:rFonts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 xml:space="preserve">地址：连云港市海州区朝阳东路东盛阳光大厦B座3505号  </w:t>
      </w:r>
    </w:p>
    <w:p w14:paraId="39139538">
      <w:pPr>
        <w:spacing w:line="360" w:lineRule="auto"/>
        <w:ind w:firstLine="720"/>
        <w:jc w:val="left"/>
        <w:rPr>
          <w:rFonts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联系方式：谢工   联系电话：0518-81162007</w:t>
      </w:r>
    </w:p>
    <w:p w14:paraId="3F5060E8">
      <w:pPr>
        <w:keepNext/>
        <w:keepLines/>
        <w:spacing w:before="145" w:after="145" w:line="360" w:lineRule="auto"/>
        <w:ind w:firstLine="498"/>
        <w:outlineLvl w:val="2"/>
        <w:rPr>
          <w:rFonts w:ascii="Times New Roman" w:hAnsi="Times New Roman" w:eastAsia="宋体" w:cs="Times New Roman"/>
          <w:b/>
          <w:bCs/>
          <w:color w:val="000000"/>
          <w:sz w:val="32"/>
          <w:szCs w:val="32"/>
          <w:highlight w:val="none"/>
        </w:rPr>
      </w:pPr>
      <w:r>
        <w:rPr>
          <w:rFonts w:hint="eastAsia" w:ascii="Times New Roman" w:hAnsi="Times New Roman" w:eastAsia="宋体" w:cs="Times New Roman"/>
          <w:b/>
          <w:bCs/>
          <w:color w:val="000000"/>
          <w:sz w:val="32"/>
          <w:szCs w:val="32"/>
          <w:highlight w:val="none"/>
        </w:rPr>
        <w:t>八、其他</w:t>
      </w:r>
    </w:p>
    <w:p w14:paraId="09A27CC6">
      <w:pPr>
        <w:tabs>
          <w:tab w:val="left" w:pos="900"/>
        </w:tabs>
        <w:spacing w:line="560" w:lineRule="exact"/>
        <w:ind w:firstLine="480"/>
        <w:rPr>
          <w:rFonts w:ascii="宋体" w:hAnsi="宋体" w:eastAsia="宋体" w:cs="Times New Roman"/>
          <w:bCs/>
          <w:color w:val="000000"/>
          <w:kern w:val="0"/>
          <w:sz w:val="24"/>
          <w:highlight w:val="none"/>
        </w:rPr>
      </w:pPr>
      <w:r>
        <w:rPr>
          <w:rFonts w:ascii="宋体" w:hAnsi="宋体" w:eastAsia="宋体" w:cs="Times New Roman"/>
          <w:color w:val="000000"/>
          <w:kern w:val="0"/>
          <w:sz w:val="24"/>
          <w:szCs w:val="21"/>
          <w:highlight w:val="none"/>
        </w:rPr>
        <w:t>1</w:t>
      </w:r>
      <w:r>
        <w:rPr>
          <w:rFonts w:hint="eastAsia" w:ascii="宋体" w:hAnsi="宋体" w:eastAsia="宋体" w:cs="Times New Roman"/>
          <w:color w:val="000000"/>
          <w:kern w:val="0"/>
          <w:sz w:val="24"/>
          <w:szCs w:val="21"/>
          <w:highlight w:val="none"/>
        </w:rPr>
        <w:t>.</w:t>
      </w:r>
      <w:r>
        <w:rPr>
          <w:rFonts w:hint="eastAsia" w:ascii="宋体" w:hAnsi="宋体" w:eastAsia="宋体" w:cs="Times New Roman"/>
          <w:bCs/>
          <w:color w:val="000000"/>
          <w:kern w:val="0"/>
          <w:sz w:val="24"/>
          <w:highlight w:val="none"/>
        </w:rPr>
        <w:t xml:space="preserve"> 根据省财政厅《关于更换全省政府采购交易系统C A数字证书和电子签章的通知》（苏财购〔2023〕101号），</w:t>
      </w:r>
      <w:r>
        <w:rPr>
          <w:rFonts w:hint="eastAsia" w:ascii="宋体" w:hAnsi="宋体" w:eastAsia="宋体" w:cs="Times New Roman"/>
          <w:color w:val="000000"/>
          <w:kern w:val="0"/>
          <w:sz w:val="24"/>
          <w:highlight w:val="none"/>
        </w:rPr>
        <w:t>“苏采云”政府采购交易系统（以下简称苏采云系统）</w:t>
      </w:r>
      <w:r>
        <w:rPr>
          <w:rFonts w:hint="eastAsia" w:ascii="宋体" w:hAnsi="宋体" w:eastAsia="宋体" w:cs="Times New Roman"/>
          <w:bCs/>
          <w:color w:val="000000"/>
          <w:kern w:val="0"/>
          <w:sz w:val="24"/>
          <w:highlight w:val="none"/>
        </w:rPr>
        <w:t>的CA数字证书、电子签章已更换为江苏省电子政务证书认证中心C A和方正国际软件（北京）有限公司电子签章。如果投标人通过</w:t>
      </w:r>
      <w:r>
        <w:rPr>
          <w:rFonts w:hint="eastAsia" w:ascii="宋体" w:hAnsi="宋体" w:eastAsia="宋体" w:cs="Times New Roman"/>
          <w:color w:val="000000"/>
          <w:kern w:val="0"/>
          <w:sz w:val="24"/>
          <w:highlight w:val="none"/>
        </w:rPr>
        <w:t>苏采云系统</w:t>
      </w:r>
      <w:r>
        <w:rPr>
          <w:rFonts w:hint="eastAsia" w:ascii="宋体" w:hAnsi="宋体" w:eastAsia="宋体" w:cs="Times New Roman"/>
          <w:bCs/>
          <w:color w:val="000000"/>
          <w:kern w:val="0"/>
          <w:sz w:val="24"/>
          <w:highlight w:val="none"/>
        </w:rPr>
        <w:t>参与政府采购项目，需要更换CA数字证书和电子签章。具体办理指南和操作手册见链接：http://www.ccgp-jiangsu.gov.cn/jiangsu/zlxz/ee/ee3a4bc5a3454aa2b0d9312230633ce9.html。</w:t>
      </w:r>
    </w:p>
    <w:p w14:paraId="39997F43">
      <w:pPr>
        <w:tabs>
          <w:tab w:val="left" w:pos="900"/>
        </w:tabs>
        <w:spacing w:line="560" w:lineRule="exact"/>
        <w:ind w:firstLine="482"/>
        <w:rPr>
          <w:rFonts w:ascii="宋体" w:hAnsi="宋体" w:eastAsia="宋体" w:cs="Times New Roman"/>
          <w:color w:val="000000"/>
          <w:kern w:val="0"/>
          <w:sz w:val="24"/>
          <w:highlight w:val="none"/>
        </w:rPr>
      </w:pPr>
      <w:r>
        <w:rPr>
          <w:rFonts w:hint="eastAsia" w:ascii="宋体" w:hAnsi="宋体" w:eastAsia="宋体" w:cs="Times New Roman"/>
          <w:b/>
          <w:color w:val="000000"/>
          <w:kern w:val="0"/>
          <w:sz w:val="24"/>
          <w:highlight w:val="none"/>
        </w:rPr>
        <w:t>连云港市CA证书与电子签章办理地址：办理方式包括现场办理和线上辅助办理两种，具体渠道和办理事项请联系江苏意源连云港地区负责人。姓名：计玉芳；电话：15995237629.</w:t>
      </w:r>
      <w:r>
        <w:rPr>
          <w:rFonts w:hint="eastAsia" w:ascii="宋体" w:hAnsi="宋体" w:eastAsia="宋体" w:cs="Times New Roman"/>
          <w:bCs/>
          <w:color w:val="000000"/>
          <w:kern w:val="0"/>
          <w:sz w:val="24"/>
          <w:highlight w:val="none"/>
        </w:rPr>
        <w:t>具体联系方式见《苏采云系统供应商操作手册》（以下简称《操作手册》））、进行注册并按《操作手册》要求制作、上传电子投标文件。</w:t>
      </w:r>
    </w:p>
    <w:p w14:paraId="50B4042E">
      <w:pPr>
        <w:tabs>
          <w:tab w:val="left" w:pos="900"/>
        </w:tabs>
        <w:spacing w:line="560" w:lineRule="exact"/>
        <w:ind w:firstLine="480"/>
        <w:rPr>
          <w:rFonts w:ascii="宋体" w:hAnsi="宋体" w:eastAsia="宋体" w:cs="Times New Roman"/>
          <w:bCs/>
          <w:color w:val="000000"/>
          <w:kern w:val="0"/>
          <w:sz w:val="24"/>
          <w:highlight w:val="none"/>
        </w:rPr>
      </w:pPr>
      <w:r>
        <w:rPr>
          <w:rFonts w:hint="eastAsia" w:ascii="宋体" w:hAnsi="宋体" w:eastAsia="宋体" w:cs="Times New Roman"/>
          <w:bCs/>
          <w:color w:val="000000"/>
          <w:kern w:val="0"/>
          <w:sz w:val="24"/>
          <w:highlight w:val="none"/>
        </w:rPr>
        <w:t>2. 有关本次招标的事项若存在变动或修改，敬请及时关注连云港新宏项目管理有限公司在“江苏政府采购网”发布的更正公告。</w:t>
      </w:r>
    </w:p>
    <w:p w14:paraId="2511468F">
      <w:pPr>
        <w:spacing w:line="560" w:lineRule="exact"/>
        <w:ind w:firstLine="480"/>
        <w:rPr>
          <w:rFonts w:ascii="宋体" w:hAnsi="宋体" w:eastAsia="宋体" w:cs="Times New Roman"/>
          <w:color w:val="000000"/>
          <w:kern w:val="0"/>
          <w:sz w:val="24"/>
          <w:szCs w:val="21"/>
          <w:highlight w:val="none"/>
        </w:rPr>
      </w:pPr>
    </w:p>
    <w:p w14:paraId="22CC9A5E">
      <w:pPr>
        <w:ind w:right="840"/>
        <w:rPr>
          <w:rFonts w:ascii="黑体" w:hAnsi="Times New Roman" w:eastAsia="黑体" w:cs="Times New Roman"/>
          <w:b/>
          <w:bCs/>
          <w:color w:val="000000"/>
          <w:kern w:val="0"/>
          <w:sz w:val="44"/>
          <w:szCs w:val="44"/>
          <w:highlight w:val="none"/>
        </w:rPr>
      </w:pPr>
      <w:r>
        <w:rPr>
          <w:rFonts w:hint="eastAsia" w:ascii="宋体" w:hAnsi="宋体" w:eastAsia="宋体" w:cs="Times New Roman"/>
          <w:color w:val="000000"/>
          <w:kern w:val="0"/>
          <w:sz w:val="24"/>
          <w:highlight w:val="none"/>
        </w:rPr>
        <w:br w:type="page" w:clear="all"/>
      </w:r>
      <w:bookmarkStart w:id="44" w:name="_Toc120614211"/>
      <w:r>
        <w:rPr>
          <w:rFonts w:hint="eastAsia" w:ascii="宋体" w:hAnsi="宋体" w:eastAsia="宋体" w:cs="Times New Roman"/>
          <w:color w:val="000000"/>
          <w:kern w:val="0"/>
          <w:sz w:val="24"/>
          <w:highlight w:val="none"/>
        </w:rPr>
        <w:t xml:space="preserve">                       </w:t>
      </w:r>
      <w:r>
        <w:rPr>
          <w:rFonts w:hint="eastAsia" w:ascii="黑体" w:hAnsi="Times New Roman" w:eastAsia="黑体" w:cs="Times New Roman"/>
          <w:color w:val="000000"/>
          <w:kern w:val="0"/>
          <w:sz w:val="44"/>
          <w:szCs w:val="44"/>
          <w:highlight w:val="none"/>
        </w:rPr>
        <w:t xml:space="preserve">第二章  </w:t>
      </w:r>
      <w:bookmarkEnd w:id="3"/>
      <w:bookmarkEnd w:id="4"/>
      <w:bookmarkEnd w:id="5"/>
      <w:bookmarkEnd w:id="6"/>
      <w:bookmarkEnd w:id="7"/>
      <w:bookmarkEnd w:id="44"/>
      <w:bookmarkStart w:id="45" w:name="_Toc20823274"/>
      <w:bookmarkStart w:id="46" w:name="_Toc513029202"/>
      <w:bookmarkStart w:id="47" w:name="_Toc120614213"/>
      <w:bookmarkStart w:id="48" w:name="_Toc16938518"/>
      <w:r>
        <w:rPr>
          <w:rFonts w:hint="eastAsia" w:ascii="黑体" w:hAnsi="Times New Roman" w:eastAsia="黑体" w:cs="Times New Roman"/>
          <w:color w:val="000000"/>
          <w:kern w:val="0"/>
          <w:sz w:val="44"/>
          <w:szCs w:val="44"/>
          <w:highlight w:val="none"/>
        </w:rPr>
        <w:t>投标人须知</w:t>
      </w:r>
      <w:bookmarkEnd w:id="45"/>
      <w:bookmarkEnd w:id="46"/>
      <w:bookmarkEnd w:id="47"/>
      <w:bookmarkEnd w:id="48"/>
    </w:p>
    <w:p w14:paraId="1E4AC764">
      <w:pPr>
        <w:keepNext/>
        <w:keepLines/>
        <w:spacing w:before="145" w:after="145" w:line="360" w:lineRule="auto"/>
        <w:ind w:firstLine="498"/>
        <w:outlineLvl w:val="2"/>
        <w:rPr>
          <w:rFonts w:ascii="Times New Roman" w:hAnsi="Times New Roman" w:eastAsia="宋体" w:cs="Times New Roman"/>
          <w:b/>
          <w:bCs/>
          <w:color w:val="000000"/>
          <w:sz w:val="32"/>
          <w:szCs w:val="32"/>
          <w:highlight w:val="none"/>
        </w:rPr>
      </w:pPr>
      <w:bookmarkStart w:id="49" w:name="_Toc513029203"/>
      <w:bookmarkStart w:id="50" w:name="_Toc20823275"/>
      <w:bookmarkStart w:id="51" w:name="_Toc120614214"/>
      <w:bookmarkStart w:id="52" w:name="_Toc16938519"/>
      <w:r>
        <w:rPr>
          <w:rFonts w:hint="eastAsia" w:ascii="Times New Roman" w:hAnsi="Times New Roman" w:eastAsia="宋体" w:cs="Times New Roman"/>
          <w:b/>
          <w:bCs/>
          <w:color w:val="000000"/>
          <w:sz w:val="32"/>
          <w:szCs w:val="32"/>
          <w:highlight w:val="none"/>
        </w:rPr>
        <w:t>一、总则</w:t>
      </w:r>
      <w:bookmarkEnd w:id="49"/>
      <w:bookmarkEnd w:id="50"/>
      <w:bookmarkEnd w:id="51"/>
      <w:bookmarkEnd w:id="52"/>
    </w:p>
    <w:p w14:paraId="35D0067E">
      <w:pPr>
        <w:keepNext/>
        <w:keepLines/>
        <w:ind w:firstLine="420"/>
        <w:outlineLvl w:val="3"/>
        <w:rPr>
          <w:rFonts w:ascii="Arial" w:hAnsi="Arial" w:eastAsia="黑体" w:cs="Arial"/>
          <w:color w:val="000000"/>
          <w:sz w:val="28"/>
          <w:szCs w:val="28"/>
          <w:highlight w:val="none"/>
        </w:rPr>
      </w:pPr>
      <w:bookmarkStart w:id="53" w:name="_Hlt16619475"/>
      <w:bookmarkEnd w:id="53"/>
      <w:bookmarkStart w:id="54" w:name="_Toc458694821"/>
      <w:bookmarkStart w:id="55" w:name="_Toc16938520"/>
      <w:bookmarkStart w:id="56" w:name="_Toc20823276"/>
      <w:bookmarkStart w:id="57" w:name="_Toc513029204"/>
      <w:r>
        <w:rPr>
          <w:rFonts w:hint="eastAsia" w:ascii="Arial" w:hAnsi="Arial" w:eastAsia="黑体" w:cs="Arial"/>
          <w:color w:val="000000"/>
          <w:sz w:val="28"/>
          <w:szCs w:val="28"/>
          <w:highlight w:val="none"/>
        </w:rPr>
        <w:t>1</w:t>
      </w:r>
      <w:bookmarkEnd w:id="54"/>
      <w:r>
        <w:rPr>
          <w:rFonts w:hint="eastAsia" w:ascii="Arial" w:hAnsi="Arial" w:eastAsia="黑体" w:cs="Arial"/>
          <w:color w:val="000000"/>
          <w:sz w:val="28"/>
          <w:szCs w:val="28"/>
          <w:highlight w:val="none"/>
        </w:rPr>
        <w:t>、招标方式</w:t>
      </w:r>
      <w:bookmarkEnd w:id="55"/>
      <w:bookmarkEnd w:id="56"/>
      <w:bookmarkEnd w:id="57"/>
    </w:p>
    <w:p w14:paraId="0895EE56">
      <w:pPr>
        <w:spacing w:line="500" w:lineRule="exact"/>
        <w:ind w:firstLine="480"/>
        <w:rPr>
          <w:rFonts w:ascii="宋体" w:hAnsi="宋体" w:eastAsia="宋体" w:cs="Times New Roman"/>
          <w:color w:val="000000"/>
          <w:kern w:val="0"/>
          <w:sz w:val="24"/>
          <w:szCs w:val="21"/>
          <w:highlight w:val="none"/>
        </w:rPr>
      </w:pPr>
      <w:r>
        <w:rPr>
          <w:rFonts w:hint="eastAsia" w:ascii="宋体" w:hAnsi="宋体" w:eastAsia="宋体" w:cs="Times New Roman"/>
          <w:color w:val="000000"/>
          <w:kern w:val="0"/>
          <w:sz w:val="24"/>
          <w:szCs w:val="21"/>
          <w:highlight w:val="none"/>
        </w:rPr>
        <w:t>1.1 本次招标采取公开招标方式，本招标文件仅适用于招标公告中所述项目。</w:t>
      </w:r>
    </w:p>
    <w:p w14:paraId="7AE5158E">
      <w:pPr>
        <w:keepNext/>
        <w:keepLines/>
        <w:ind w:firstLine="420"/>
        <w:outlineLvl w:val="3"/>
        <w:rPr>
          <w:rFonts w:ascii="Arial" w:hAnsi="Arial" w:eastAsia="黑体" w:cs="Arial"/>
          <w:color w:val="000000"/>
          <w:sz w:val="28"/>
          <w:szCs w:val="28"/>
          <w:highlight w:val="none"/>
        </w:rPr>
      </w:pPr>
      <w:bookmarkStart w:id="58" w:name="_Toc513029205"/>
      <w:bookmarkStart w:id="59" w:name="_Toc20823277"/>
      <w:bookmarkStart w:id="60" w:name="_Toc16938521"/>
      <w:r>
        <w:rPr>
          <w:rFonts w:hint="eastAsia" w:ascii="Arial" w:hAnsi="Arial" w:eastAsia="黑体" w:cs="Arial"/>
          <w:color w:val="000000"/>
          <w:sz w:val="28"/>
          <w:szCs w:val="28"/>
          <w:highlight w:val="none"/>
        </w:rPr>
        <w:t>2、合格的投标人</w:t>
      </w:r>
      <w:bookmarkEnd w:id="58"/>
      <w:bookmarkEnd w:id="59"/>
      <w:bookmarkEnd w:id="60"/>
    </w:p>
    <w:p w14:paraId="23A0B41F">
      <w:pPr>
        <w:spacing w:line="500" w:lineRule="exact"/>
        <w:ind w:firstLine="480"/>
        <w:jc w:val="left"/>
        <w:rPr>
          <w:rFonts w:hint="eastAsia" w:ascii="Calibri" w:hAnsi="Calibri" w:eastAsia="宋体" w:cs="Times New Roman"/>
          <w:kern w:val="0"/>
          <w:sz w:val="24"/>
        </w:rPr>
      </w:pPr>
      <w:r>
        <w:rPr>
          <w:rFonts w:hint="eastAsia" w:ascii="Calibri" w:hAnsi="Calibri" w:eastAsia="宋体" w:cs="Times New Roman"/>
          <w:kern w:val="0"/>
          <w:sz w:val="24"/>
        </w:rPr>
        <w:t>2.1满足招标公告中申请人的资格要求的规定。</w:t>
      </w:r>
    </w:p>
    <w:p w14:paraId="3019E16B">
      <w:pPr>
        <w:spacing w:line="500" w:lineRule="exact"/>
        <w:ind w:firstLine="480"/>
        <w:jc w:val="left"/>
        <w:rPr>
          <w:rFonts w:hint="eastAsia" w:ascii="Calibri" w:hAnsi="Calibri" w:eastAsia="宋体" w:cs="Times New Roman"/>
          <w:kern w:val="0"/>
          <w:sz w:val="24"/>
        </w:rPr>
      </w:pPr>
      <w:r>
        <w:rPr>
          <w:rFonts w:hint="eastAsia" w:ascii="Calibri" w:hAnsi="Calibri" w:eastAsia="宋体" w:cs="Times New Roman"/>
          <w:kern w:val="0"/>
          <w:sz w:val="24"/>
        </w:rPr>
        <w:t>2.2银行、保险、石油石化、电力、电信等特殊行业法人的分支机构（不具有独立的法人资格）参与本项目政府采购活动的，应当提供总公司出具的愿为其参与政府采购活动以及履约行为承担民事责任的承诺书（或授权书）。</w:t>
      </w:r>
    </w:p>
    <w:p w14:paraId="7918CC9D">
      <w:pPr>
        <w:spacing w:line="500" w:lineRule="exact"/>
        <w:ind w:firstLine="480"/>
        <w:jc w:val="left"/>
        <w:rPr>
          <w:rFonts w:hint="eastAsia" w:ascii="Calibri" w:hAnsi="Calibri" w:eastAsia="宋体" w:cs="Times New Roman"/>
          <w:kern w:val="0"/>
          <w:sz w:val="24"/>
        </w:rPr>
      </w:pPr>
      <w:r>
        <w:rPr>
          <w:rFonts w:hint="eastAsia" w:ascii="Calibri" w:hAnsi="Calibri" w:eastAsia="宋体" w:cs="Times New Roman"/>
          <w:kern w:val="0"/>
          <w:sz w:val="24"/>
        </w:rPr>
        <w:t>2.3满足本招标文件全部实质性要求和条件的规定。</w:t>
      </w:r>
    </w:p>
    <w:p w14:paraId="2D61CD1F">
      <w:pPr>
        <w:keepNext w:val="0"/>
        <w:keepLines w:val="0"/>
        <w:spacing w:line="500" w:lineRule="exact"/>
        <w:ind w:firstLine="480"/>
        <w:jc w:val="left"/>
        <w:outlineLvl w:val="9"/>
        <w:rPr>
          <w:rFonts w:hint="eastAsia" w:ascii="Calibri" w:hAnsi="Calibri" w:eastAsia="宋体" w:cs="Times New Roman"/>
          <w:kern w:val="0"/>
          <w:sz w:val="24"/>
        </w:rPr>
      </w:pPr>
      <w:r>
        <w:rPr>
          <w:rFonts w:hint="eastAsia" w:ascii="Calibri" w:hAnsi="Calibri" w:eastAsia="宋体" w:cs="Times New Roman"/>
          <w:kern w:val="0"/>
          <w:sz w:val="24"/>
        </w:rPr>
        <w:t>2.4符合上述条件的投标人应承担投标及履约过程应承担的全部责任与义务。</w:t>
      </w:r>
      <w:bookmarkStart w:id="61" w:name="_Toc513029206"/>
      <w:bookmarkStart w:id="62" w:name="_Toc16938522"/>
      <w:bookmarkStart w:id="63" w:name="_Toc20823278"/>
    </w:p>
    <w:p w14:paraId="4F6B331F">
      <w:pPr>
        <w:keepNext/>
        <w:keepLines/>
        <w:ind w:firstLine="420"/>
        <w:outlineLvl w:val="3"/>
        <w:rPr>
          <w:rFonts w:ascii="Arial" w:hAnsi="Arial" w:eastAsia="黑体" w:cs="Arial"/>
          <w:color w:val="000000"/>
          <w:sz w:val="28"/>
          <w:szCs w:val="28"/>
          <w:highlight w:val="none"/>
        </w:rPr>
      </w:pPr>
      <w:r>
        <w:rPr>
          <w:rFonts w:hint="eastAsia" w:ascii="Arial" w:hAnsi="Arial" w:eastAsia="黑体" w:cs="Arial"/>
          <w:color w:val="000000"/>
          <w:sz w:val="28"/>
          <w:szCs w:val="28"/>
          <w:highlight w:val="none"/>
        </w:rPr>
        <w:t>3、适用法律</w:t>
      </w:r>
      <w:bookmarkEnd w:id="61"/>
      <w:bookmarkEnd w:id="62"/>
      <w:bookmarkEnd w:id="63"/>
    </w:p>
    <w:p w14:paraId="5E94FE75">
      <w:pPr>
        <w:spacing w:line="400" w:lineRule="exact"/>
        <w:ind w:firstLine="420"/>
        <w:rPr>
          <w:rFonts w:hint="eastAsia" w:ascii="宋体" w:hAnsi="宋体" w:eastAsia="宋体" w:cs="Times New Roman"/>
          <w:color w:val="000000"/>
          <w:kern w:val="0"/>
          <w:sz w:val="24"/>
          <w:szCs w:val="21"/>
          <w:highlight w:val="none"/>
        </w:rPr>
      </w:pPr>
      <w:r>
        <w:rPr>
          <w:rFonts w:hint="eastAsia" w:ascii="宋体" w:hAnsi="宋体" w:eastAsia="宋体" w:cs="Times New Roman"/>
          <w:color w:val="000000"/>
          <w:kern w:val="0"/>
          <w:sz w:val="24"/>
          <w:szCs w:val="21"/>
          <w:highlight w:val="none"/>
        </w:rPr>
        <w:t>3.1 本次招标及由此产生的合同受中华人民共和国有关的法律法规制约和保护。</w:t>
      </w:r>
    </w:p>
    <w:p w14:paraId="14F2B250">
      <w:pPr>
        <w:keepNext/>
        <w:keepLines/>
        <w:ind w:firstLine="420"/>
        <w:outlineLvl w:val="3"/>
        <w:rPr>
          <w:rFonts w:ascii="Arial" w:hAnsi="Arial" w:eastAsia="黑体" w:cs="Arial"/>
          <w:color w:val="000000"/>
          <w:sz w:val="28"/>
          <w:szCs w:val="28"/>
          <w:highlight w:val="none"/>
        </w:rPr>
      </w:pPr>
      <w:bookmarkStart w:id="64" w:name="_Toc20823279"/>
      <w:bookmarkStart w:id="65" w:name="_Toc16938523"/>
      <w:bookmarkStart w:id="66" w:name="_Toc513029207"/>
      <w:bookmarkStart w:id="67" w:name="_Toc462564067"/>
      <w:r>
        <w:rPr>
          <w:rFonts w:hint="eastAsia" w:ascii="Arial" w:hAnsi="Arial" w:eastAsia="黑体" w:cs="Arial"/>
          <w:color w:val="000000"/>
          <w:sz w:val="28"/>
          <w:szCs w:val="28"/>
          <w:highlight w:val="none"/>
        </w:rPr>
        <w:t>4、投标费用</w:t>
      </w:r>
      <w:bookmarkEnd w:id="64"/>
      <w:bookmarkEnd w:id="65"/>
      <w:bookmarkEnd w:id="66"/>
      <w:bookmarkEnd w:id="67"/>
    </w:p>
    <w:p w14:paraId="3DAF5871">
      <w:pPr>
        <w:spacing w:line="500" w:lineRule="exact"/>
        <w:ind w:firstLine="480"/>
        <w:rPr>
          <w:rFonts w:hint="eastAsia" w:ascii="宋体" w:hAnsi="宋体" w:eastAsia="宋体" w:cs="Times New Roman"/>
          <w:color w:val="000000"/>
          <w:kern w:val="0"/>
          <w:sz w:val="24"/>
          <w:szCs w:val="21"/>
          <w:highlight w:val="none"/>
        </w:rPr>
      </w:pPr>
      <w:r>
        <w:rPr>
          <w:rFonts w:hint="eastAsia" w:ascii="宋体" w:hAnsi="宋体" w:eastAsia="宋体" w:cs="Times New Roman"/>
          <w:bCs/>
          <w:color w:val="000000"/>
          <w:kern w:val="0"/>
          <w:sz w:val="24"/>
          <w:szCs w:val="21"/>
          <w:highlight w:val="none"/>
        </w:rPr>
        <w:t>4.1</w:t>
      </w:r>
      <w:r>
        <w:rPr>
          <w:rFonts w:hint="eastAsia" w:ascii="宋体" w:hAnsi="宋体" w:eastAsia="宋体" w:cs="Times New Roman"/>
          <w:color w:val="000000"/>
          <w:kern w:val="0"/>
          <w:sz w:val="24"/>
          <w:szCs w:val="21"/>
          <w:highlight w:val="none"/>
        </w:rPr>
        <w:t xml:space="preserve"> 投标人应自行承担所有与参加投标有关的费用，无论投标过程中的做法和结果如何，连云港新宏项目管理有限公司在任何情况下均无义务和责任承担这些费用。</w:t>
      </w:r>
    </w:p>
    <w:p w14:paraId="0AE0B56E">
      <w:pPr>
        <w:spacing w:line="500" w:lineRule="exact"/>
        <w:ind w:firstLine="480"/>
        <w:rPr>
          <w:rFonts w:hint="eastAsia" w:ascii="宋体" w:hAnsi="宋体" w:eastAsia="宋体" w:cs="Times New Roman"/>
          <w:color w:val="000000"/>
          <w:kern w:val="0"/>
          <w:sz w:val="24"/>
          <w:szCs w:val="21"/>
          <w:highlight w:val="none"/>
        </w:rPr>
      </w:pPr>
      <w:r>
        <w:rPr>
          <w:rFonts w:hint="eastAsia" w:ascii="宋体" w:hAnsi="宋体" w:eastAsia="宋体" w:cs="Times New Roman"/>
          <w:color w:val="000000"/>
          <w:kern w:val="0"/>
          <w:sz w:val="24"/>
          <w:szCs w:val="21"/>
          <w:highlight w:val="none"/>
        </w:rPr>
        <w:t>4.2本次招标不收取标书工本费。</w:t>
      </w:r>
    </w:p>
    <w:p w14:paraId="699CF049">
      <w:pPr>
        <w:keepNext/>
        <w:keepLines/>
        <w:spacing w:line="480" w:lineRule="exact"/>
        <w:ind w:firstLine="480"/>
        <w:outlineLvl w:val="3"/>
        <w:rPr>
          <w:rFonts w:hint="eastAsia" w:ascii="宋体" w:hAnsi="宋体" w:eastAsia="宋体" w:cs="Times New Roman"/>
          <w:color w:val="000000"/>
          <w:sz w:val="24"/>
          <w:szCs w:val="21"/>
          <w:highlight w:val="none"/>
        </w:rPr>
      </w:pPr>
      <w:r>
        <w:rPr>
          <w:rFonts w:hint="eastAsia" w:ascii="宋体" w:hAnsi="宋体" w:eastAsia="黑体" w:cs="Arial"/>
          <w:color w:val="000000"/>
          <w:sz w:val="24"/>
          <w:szCs w:val="28"/>
          <w:highlight w:val="none"/>
        </w:rPr>
        <w:t>4.3</w:t>
      </w:r>
      <w:r>
        <w:rPr>
          <w:rFonts w:hint="eastAsia" w:ascii="宋体" w:hAnsi="宋体" w:eastAsia="宋体" w:cs="Times New Roman"/>
          <w:color w:val="000000"/>
          <w:sz w:val="24"/>
          <w:szCs w:val="21"/>
          <w:highlight w:val="none"/>
        </w:rPr>
        <w:t>本项目的招标代理费具体计算方法：招标代理费用按“苏招协【2022】002号文”服务类标准收费计取；由中标人在领取中标通知书时一次性支付；投标单位须将此部分费用综合考虑在投标报价中，不得单列。</w:t>
      </w:r>
    </w:p>
    <w:p w14:paraId="44BB0A9E">
      <w:pPr>
        <w:keepNext/>
        <w:keepLines/>
        <w:spacing w:line="480" w:lineRule="exact"/>
        <w:ind w:firstLine="602"/>
        <w:outlineLvl w:val="3"/>
        <w:rPr>
          <w:rFonts w:ascii="黑体" w:hAnsi="宋体" w:eastAsia="黑体" w:cs="Arial"/>
          <w:color w:val="000000"/>
          <w:sz w:val="28"/>
          <w:szCs w:val="28"/>
          <w:highlight w:val="none"/>
        </w:rPr>
      </w:pPr>
      <w:r>
        <w:rPr>
          <w:rFonts w:hint="eastAsia" w:ascii="宋体" w:hAnsi="宋体" w:eastAsia="黑体" w:cs="Arial"/>
          <w:b/>
          <w:bCs/>
          <w:color w:val="000000"/>
          <w:sz w:val="30"/>
          <w:szCs w:val="28"/>
          <w:highlight w:val="none"/>
        </w:rPr>
        <w:t>5、</w:t>
      </w:r>
      <w:r>
        <w:rPr>
          <w:rFonts w:hint="eastAsia" w:ascii="黑体" w:hAnsi="宋体" w:eastAsia="黑体" w:cs="Arial"/>
          <w:color w:val="000000"/>
          <w:sz w:val="28"/>
          <w:szCs w:val="28"/>
          <w:highlight w:val="none"/>
        </w:rPr>
        <w:t>招标文件的约束力</w:t>
      </w:r>
    </w:p>
    <w:p w14:paraId="56933107">
      <w:pPr>
        <w:spacing w:line="480" w:lineRule="exact"/>
        <w:ind w:firstLine="480"/>
        <w:rPr>
          <w:rFonts w:hint="eastAsia" w:ascii="宋体" w:hAnsi="宋体" w:eastAsia="宋体" w:cs="Times New Roman"/>
          <w:color w:val="000000"/>
          <w:kern w:val="0"/>
          <w:sz w:val="24"/>
          <w:highlight w:val="none"/>
        </w:rPr>
      </w:pPr>
      <w:r>
        <w:rPr>
          <w:rFonts w:hint="eastAsia" w:ascii="宋体" w:hAnsi="宋体" w:eastAsia="宋体" w:cs="Times New Roman"/>
          <w:bCs/>
          <w:color w:val="000000"/>
          <w:kern w:val="0"/>
          <w:sz w:val="24"/>
          <w:highlight w:val="none"/>
        </w:rPr>
        <w:t>5.1</w:t>
      </w:r>
      <w:r>
        <w:rPr>
          <w:rFonts w:hint="eastAsia" w:ascii="宋体" w:hAnsi="宋体" w:eastAsia="宋体" w:cs="Times New Roman"/>
          <w:color w:val="000000"/>
          <w:kern w:val="0"/>
          <w:sz w:val="24"/>
          <w:highlight w:val="none"/>
        </w:rPr>
        <w:t xml:space="preserve"> 投标人一旦参加本项目采购活动，即被认为接受了本招标文件的规定和约束。</w:t>
      </w:r>
    </w:p>
    <w:p w14:paraId="67CCCD61">
      <w:pPr>
        <w:keepNext/>
        <w:keepLines/>
        <w:spacing w:before="145" w:after="145" w:line="360" w:lineRule="auto"/>
        <w:ind w:firstLine="321"/>
        <w:outlineLvl w:val="2"/>
        <w:rPr>
          <w:rFonts w:ascii="Times New Roman" w:hAnsi="Times New Roman" w:eastAsia="宋体" w:cs="Times New Roman"/>
          <w:b/>
          <w:bCs/>
          <w:color w:val="000000"/>
          <w:sz w:val="32"/>
          <w:szCs w:val="32"/>
          <w:highlight w:val="none"/>
        </w:rPr>
      </w:pPr>
      <w:bookmarkStart w:id="68" w:name="_Toc20823281"/>
      <w:bookmarkStart w:id="69" w:name="_Toc120614215"/>
      <w:bookmarkStart w:id="70" w:name="_Toc513029209"/>
      <w:bookmarkStart w:id="71" w:name="_Toc16938525"/>
      <w:r>
        <w:rPr>
          <w:rFonts w:hint="eastAsia" w:ascii="Times New Roman" w:hAnsi="Times New Roman" w:eastAsia="宋体" w:cs="Times New Roman"/>
          <w:b/>
          <w:bCs/>
          <w:color w:val="000000"/>
          <w:sz w:val="32"/>
          <w:szCs w:val="32"/>
          <w:highlight w:val="none"/>
        </w:rPr>
        <w:t>二、招标文件</w:t>
      </w:r>
      <w:bookmarkEnd w:id="68"/>
      <w:bookmarkEnd w:id="69"/>
      <w:bookmarkEnd w:id="70"/>
      <w:bookmarkEnd w:id="71"/>
    </w:p>
    <w:p w14:paraId="36EFFB66">
      <w:pPr>
        <w:keepNext/>
        <w:keepLines/>
        <w:ind w:firstLine="420"/>
        <w:outlineLvl w:val="3"/>
        <w:rPr>
          <w:rFonts w:ascii="Arial" w:hAnsi="Arial" w:eastAsia="黑体" w:cs="Arial"/>
          <w:color w:val="000000"/>
          <w:sz w:val="28"/>
          <w:szCs w:val="28"/>
          <w:highlight w:val="none"/>
        </w:rPr>
      </w:pPr>
      <w:bookmarkStart w:id="72" w:name="_Toc16938526"/>
      <w:bookmarkStart w:id="73" w:name="_Toc513029210"/>
      <w:bookmarkStart w:id="74" w:name="_Toc20823282"/>
      <w:r>
        <w:rPr>
          <w:rFonts w:hint="eastAsia" w:ascii="Arial" w:hAnsi="Arial" w:eastAsia="黑体" w:cs="Arial"/>
          <w:color w:val="000000"/>
          <w:sz w:val="28"/>
          <w:szCs w:val="28"/>
          <w:highlight w:val="none"/>
        </w:rPr>
        <w:t>6、招标文件构成</w:t>
      </w:r>
      <w:bookmarkEnd w:id="72"/>
      <w:bookmarkEnd w:id="73"/>
      <w:bookmarkEnd w:id="74"/>
    </w:p>
    <w:p w14:paraId="2F8C46E1">
      <w:pPr>
        <w:spacing w:line="500" w:lineRule="exact"/>
        <w:ind w:firstLine="480"/>
        <w:rPr>
          <w:rFonts w:hint="eastAsia" w:ascii="宋体" w:hAnsi="宋体" w:eastAsia="宋体" w:cs="Times New Roman"/>
          <w:color w:val="000000"/>
          <w:kern w:val="0"/>
          <w:sz w:val="24"/>
          <w:szCs w:val="21"/>
          <w:highlight w:val="none"/>
        </w:rPr>
      </w:pPr>
      <w:r>
        <w:rPr>
          <w:rFonts w:hint="eastAsia" w:ascii="宋体" w:hAnsi="宋体" w:eastAsia="宋体" w:cs="Times New Roman"/>
          <w:bCs/>
          <w:color w:val="000000"/>
          <w:kern w:val="0"/>
          <w:sz w:val="24"/>
          <w:szCs w:val="21"/>
          <w:highlight w:val="none"/>
        </w:rPr>
        <w:t>6.1</w:t>
      </w:r>
      <w:r>
        <w:rPr>
          <w:rFonts w:hint="eastAsia" w:ascii="宋体" w:hAnsi="宋体" w:eastAsia="宋体" w:cs="Times New Roman"/>
          <w:color w:val="000000"/>
          <w:kern w:val="0"/>
          <w:sz w:val="24"/>
          <w:szCs w:val="21"/>
          <w:highlight w:val="none"/>
        </w:rPr>
        <w:t xml:space="preserve"> 招标文件由以下部分组成：</w:t>
      </w:r>
    </w:p>
    <w:p w14:paraId="338802E0">
      <w:pPr>
        <w:spacing w:line="400" w:lineRule="exact"/>
        <w:ind w:firstLine="360"/>
        <w:rPr>
          <w:rFonts w:hint="eastAsia"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（1）投标邀请</w:t>
      </w:r>
    </w:p>
    <w:p w14:paraId="03E31CC0">
      <w:pPr>
        <w:spacing w:line="400" w:lineRule="exact"/>
        <w:ind w:firstLine="360"/>
        <w:rPr>
          <w:rFonts w:hint="eastAsia"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（2）投标人须知</w:t>
      </w:r>
    </w:p>
    <w:p w14:paraId="3AD2AF44">
      <w:pPr>
        <w:spacing w:line="400" w:lineRule="exact"/>
        <w:ind w:firstLine="360"/>
        <w:rPr>
          <w:rFonts w:hint="eastAsia"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（3）合同文本</w:t>
      </w:r>
    </w:p>
    <w:p w14:paraId="3F9AA26A">
      <w:pPr>
        <w:spacing w:line="400" w:lineRule="exact"/>
        <w:ind w:firstLine="360"/>
        <w:rPr>
          <w:rFonts w:hint="eastAsia"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（4）采购需求</w:t>
      </w:r>
    </w:p>
    <w:p w14:paraId="2A5586C3">
      <w:pPr>
        <w:ind w:firstLine="360"/>
        <w:rPr>
          <w:rFonts w:hint="eastAsia" w:ascii="Times New Roman" w:hAnsi="Times New Roman" w:eastAsia="宋体" w:cs="Times New Roman"/>
          <w:color w:val="000000"/>
          <w:kern w:val="0"/>
          <w:sz w:val="24"/>
          <w:highlight w:val="none"/>
        </w:rPr>
      </w:pPr>
      <w:r>
        <w:rPr>
          <w:rFonts w:hint="eastAsia" w:ascii="宋体" w:hAnsi="宋体" w:eastAsia="宋体" w:cs="Times New Roman"/>
          <w:color w:val="000000"/>
          <w:kern w:val="0"/>
          <w:sz w:val="24"/>
          <w:highlight w:val="none"/>
        </w:rPr>
        <w:t>（5）</w:t>
      </w:r>
      <w:r>
        <w:rPr>
          <w:rFonts w:hint="eastAsia" w:ascii="Times New Roman" w:hAnsi="宋体" w:eastAsia="宋体" w:cs="Times New Roman"/>
          <w:color w:val="000000"/>
          <w:kern w:val="0"/>
          <w:sz w:val="24"/>
          <w:highlight w:val="none"/>
        </w:rPr>
        <w:t>评标方法与评标标准</w:t>
      </w:r>
    </w:p>
    <w:p w14:paraId="2E1FC0E8">
      <w:pPr>
        <w:spacing w:line="400" w:lineRule="exact"/>
        <w:ind w:firstLine="360"/>
        <w:rPr>
          <w:rFonts w:hint="eastAsia"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（6）投标文件格式</w:t>
      </w:r>
    </w:p>
    <w:p w14:paraId="1338447F">
      <w:pPr>
        <w:spacing w:line="500" w:lineRule="exact"/>
        <w:ind w:firstLine="480"/>
        <w:rPr>
          <w:rFonts w:hint="eastAsia" w:ascii="宋体" w:hAnsi="宋体" w:eastAsia="宋体" w:cs="Times New Roman"/>
          <w:color w:val="000000"/>
          <w:kern w:val="0"/>
          <w:sz w:val="24"/>
          <w:szCs w:val="21"/>
          <w:highlight w:val="none"/>
        </w:rPr>
      </w:pPr>
      <w:r>
        <w:rPr>
          <w:rFonts w:hint="eastAsia" w:ascii="宋体" w:hAnsi="宋体" w:eastAsia="宋体" w:cs="Times New Roman"/>
          <w:color w:val="000000"/>
          <w:kern w:val="0"/>
          <w:sz w:val="24"/>
          <w:szCs w:val="21"/>
          <w:highlight w:val="none"/>
        </w:rPr>
        <w:t>请仔细检查招标文件是否齐全，如有缺漏请立即与代理公司联系解决。</w:t>
      </w:r>
    </w:p>
    <w:p w14:paraId="70A88929">
      <w:pPr>
        <w:spacing w:line="500" w:lineRule="exact"/>
        <w:ind w:firstLine="480"/>
        <w:rPr>
          <w:rFonts w:hint="eastAsia" w:ascii="宋体" w:hAnsi="宋体" w:eastAsia="宋体" w:cs="Times New Roman"/>
          <w:color w:val="000000"/>
          <w:kern w:val="0"/>
          <w:sz w:val="24"/>
          <w:szCs w:val="21"/>
          <w:highlight w:val="none"/>
        </w:rPr>
      </w:pPr>
      <w:r>
        <w:rPr>
          <w:rFonts w:hint="eastAsia" w:ascii="宋体" w:hAnsi="宋体" w:eastAsia="宋体" w:cs="Times New Roman"/>
          <w:bCs/>
          <w:color w:val="000000"/>
          <w:kern w:val="0"/>
          <w:sz w:val="24"/>
          <w:szCs w:val="21"/>
          <w:highlight w:val="none"/>
        </w:rPr>
        <w:t>6.2</w:t>
      </w:r>
      <w:r>
        <w:rPr>
          <w:rFonts w:hint="eastAsia" w:ascii="宋体" w:hAnsi="宋体" w:eastAsia="宋体" w:cs="Times New Roman"/>
          <w:color w:val="000000"/>
          <w:kern w:val="0"/>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0CA2DF9C">
      <w:pPr>
        <w:keepNext/>
        <w:keepLines/>
        <w:ind w:firstLine="560"/>
        <w:outlineLvl w:val="3"/>
        <w:rPr>
          <w:rFonts w:ascii="Arial" w:hAnsi="Arial" w:eastAsia="黑体" w:cs="Arial"/>
          <w:color w:val="000000"/>
          <w:sz w:val="28"/>
          <w:szCs w:val="28"/>
          <w:highlight w:val="none"/>
        </w:rPr>
      </w:pPr>
      <w:bookmarkStart w:id="75" w:name="_Toc16938527"/>
      <w:bookmarkStart w:id="76" w:name="_Toc462564070"/>
      <w:bookmarkStart w:id="77" w:name="_Toc513029211"/>
      <w:bookmarkStart w:id="78" w:name="_Toc20823283"/>
      <w:r>
        <w:rPr>
          <w:rFonts w:hint="eastAsia" w:ascii="Arial" w:hAnsi="Arial" w:eastAsia="黑体" w:cs="Arial"/>
          <w:color w:val="000000"/>
          <w:sz w:val="28"/>
          <w:szCs w:val="28"/>
          <w:highlight w:val="none"/>
        </w:rPr>
        <w:t>7、招标文件的澄清</w:t>
      </w:r>
      <w:bookmarkEnd w:id="75"/>
      <w:bookmarkEnd w:id="76"/>
      <w:bookmarkEnd w:id="77"/>
      <w:bookmarkEnd w:id="78"/>
    </w:p>
    <w:p w14:paraId="5F6924EF">
      <w:pPr>
        <w:spacing w:line="480" w:lineRule="exact"/>
        <w:ind w:firstLine="480"/>
        <w:rPr>
          <w:rFonts w:hint="eastAsia" w:ascii="宋体" w:hAnsi="宋体" w:eastAsia="宋体" w:cs="Times New Roman"/>
          <w:color w:val="000000"/>
          <w:kern w:val="0"/>
          <w:sz w:val="24"/>
          <w:highlight w:val="none"/>
        </w:rPr>
      </w:pPr>
      <w:r>
        <w:rPr>
          <w:rFonts w:hint="eastAsia" w:ascii="宋体" w:hAnsi="宋体" w:eastAsia="宋体" w:cs="Times New Roman"/>
          <w:bCs/>
          <w:color w:val="000000"/>
          <w:kern w:val="0"/>
          <w:sz w:val="24"/>
          <w:szCs w:val="21"/>
          <w:highlight w:val="none"/>
        </w:rPr>
        <w:t>7.1</w:t>
      </w:r>
      <w:r>
        <w:rPr>
          <w:rFonts w:hint="eastAsia" w:ascii="宋体" w:hAnsi="宋体" w:eastAsia="宋体" w:cs="Times New Roman"/>
          <w:color w:val="000000"/>
          <w:kern w:val="0"/>
          <w:sz w:val="24"/>
          <w:szCs w:val="21"/>
          <w:highlight w:val="none"/>
        </w:rPr>
        <w:t xml:space="preserve"> 任何要求对招标文件进行澄清的投标人，应在投标截止期</w:t>
      </w:r>
      <w:r>
        <w:rPr>
          <w:rFonts w:hint="eastAsia" w:ascii="仿宋_GB2312" w:hAnsi="仿宋_GB2312" w:eastAsia="宋体" w:cs="Times New Roman"/>
          <w:b/>
          <w:color w:val="000000"/>
          <w:kern w:val="0"/>
          <w:sz w:val="24"/>
          <w:highlight w:val="none"/>
        </w:rPr>
        <w:t>十日</w:t>
      </w:r>
      <w:r>
        <w:rPr>
          <w:rFonts w:hint="eastAsia" w:ascii="仿宋_GB2312" w:hAnsi="仿宋_GB2312" w:eastAsia="宋体" w:cs="Times New Roman"/>
          <w:color w:val="000000"/>
          <w:kern w:val="0"/>
          <w:sz w:val="24"/>
          <w:highlight w:val="none"/>
        </w:rPr>
        <w:t>前</w:t>
      </w:r>
      <w:r>
        <w:rPr>
          <w:rFonts w:hint="eastAsia" w:ascii="宋体" w:hAnsi="宋体" w:eastAsia="宋体" w:cs="Times New Roman"/>
          <w:color w:val="000000"/>
          <w:kern w:val="0"/>
          <w:sz w:val="24"/>
          <w:szCs w:val="21"/>
          <w:highlight w:val="none"/>
        </w:rPr>
        <w:t>按招标公告中的通讯地址，以书面形式通知代理公司。</w:t>
      </w:r>
    </w:p>
    <w:p w14:paraId="5FBAC6AE">
      <w:pPr>
        <w:keepNext/>
        <w:keepLines/>
        <w:ind w:firstLine="560"/>
        <w:outlineLvl w:val="3"/>
        <w:rPr>
          <w:rFonts w:ascii="Arial" w:hAnsi="Arial" w:eastAsia="黑体" w:cs="Arial"/>
          <w:color w:val="000000"/>
          <w:sz w:val="28"/>
          <w:szCs w:val="28"/>
          <w:highlight w:val="none"/>
        </w:rPr>
      </w:pPr>
      <w:bookmarkStart w:id="79" w:name="_Toc20823284"/>
      <w:bookmarkStart w:id="80" w:name="_Toc513029212"/>
      <w:bookmarkStart w:id="81" w:name="_Toc462564071"/>
      <w:bookmarkStart w:id="82" w:name="_Toc16938528"/>
      <w:r>
        <w:rPr>
          <w:rFonts w:hint="eastAsia" w:ascii="Arial" w:hAnsi="Arial" w:eastAsia="黑体" w:cs="Arial"/>
          <w:color w:val="000000"/>
          <w:sz w:val="28"/>
          <w:szCs w:val="28"/>
          <w:highlight w:val="none"/>
        </w:rPr>
        <w:t>8、招标文件的修改</w:t>
      </w:r>
      <w:bookmarkEnd w:id="79"/>
      <w:bookmarkEnd w:id="80"/>
      <w:bookmarkEnd w:id="81"/>
      <w:bookmarkEnd w:id="82"/>
    </w:p>
    <w:p w14:paraId="1B64E398">
      <w:pPr>
        <w:spacing w:line="500" w:lineRule="exact"/>
        <w:ind w:firstLine="480"/>
        <w:rPr>
          <w:rFonts w:hint="eastAsia" w:ascii="宋体" w:hAnsi="宋体" w:eastAsia="宋体" w:cs="Times New Roman"/>
          <w:color w:val="000000"/>
          <w:kern w:val="0"/>
          <w:sz w:val="24"/>
          <w:szCs w:val="21"/>
          <w:highlight w:val="none"/>
        </w:rPr>
      </w:pPr>
      <w:r>
        <w:rPr>
          <w:rFonts w:hint="eastAsia" w:ascii="宋体" w:hAnsi="宋体" w:eastAsia="宋体" w:cs="Times New Roman"/>
          <w:bCs/>
          <w:color w:val="000000"/>
          <w:kern w:val="0"/>
          <w:sz w:val="24"/>
          <w:szCs w:val="21"/>
          <w:highlight w:val="none"/>
        </w:rPr>
        <w:t>8.1</w:t>
      </w:r>
      <w:r>
        <w:rPr>
          <w:rFonts w:hint="eastAsia" w:ascii="宋体" w:hAnsi="宋体" w:eastAsia="宋体" w:cs="Times New Roman"/>
          <w:color w:val="000000"/>
          <w:kern w:val="0"/>
          <w:sz w:val="24"/>
          <w:szCs w:val="21"/>
          <w:highlight w:val="none"/>
        </w:rPr>
        <w:t xml:space="preserve"> 在投标截止时间</w:t>
      </w:r>
      <w:r>
        <w:rPr>
          <w:rFonts w:hint="eastAsia" w:ascii="仿宋_GB2312" w:hAnsi="仿宋_GB2312" w:eastAsia="宋体" w:cs="Times New Roman"/>
          <w:color w:val="000000"/>
          <w:kern w:val="0"/>
          <w:sz w:val="24"/>
          <w:szCs w:val="21"/>
          <w:highlight w:val="none"/>
        </w:rPr>
        <w:t>前</w:t>
      </w:r>
      <w:r>
        <w:rPr>
          <w:rFonts w:hint="eastAsia" w:ascii="宋体" w:hAnsi="宋体" w:eastAsia="宋体" w:cs="Times New Roman"/>
          <w:color w:val="000000"/>
          <w:kern w:val="0"/>
          <w:sz w:val="24"/>
          <w:szCs w:val="21"/>
          <w:highlight w:val="none"/>
        </w:rPr>
        <w:t>，采购人（代理公司）可以对招标文件进行修改。</w:t>
      </w:r>
    </w:p>
    <w:p w14:paraId="087C04A8">
      <w:pPr>
        <w:spacing w:line="500" w:lineRule="exact"/>
        <w:ind w:firstLine="480"/>
        <w:rPr>
          <w:rFonts w:hint="eastAsia" w:ascii="宋体" w:hAnsi="Arial" w:eastAsia="宋体" w:cs="Times New Roman"/>
          <w:color w:val="000000"/>
          <w:kern w:val="0"/>
          <w:sz w:val="28"/>
          <w:szCs w:val="21"/>
          <w:highlight w:val="none"/>
        </w:rPr>
      </w:pPr>
      <w:r>
        <w:rPr>
          <w:rFonts w:hint="eastAsia" w:ascii="宋体" w:hAnsi="宋体" w:eastAsia="宋体" w:cs="Times New Roman"/>
          <w:bCs/>
          <w:color w:val="000000"/>
          <w:kern w:val="0"/>
          <w:sz w:val="24"/>
          <w:szCs w:val="21"/>
          <w:highlight w:val="none"/>
        </w:rPr>
        <w:t xml:space="preserve">8.2 </w:t>
      </w:r>
      <w:r>
        <w:rPr>
          <w:rFonts w:hint="eastAsia" w:ascii="宋体" w:hAnsi="宋体" w:eastAsia="宋体" w:cs="Times New Roman"/>
          <w:color w:val="000000"/>
          <w:kern w:val="0"/>
          <w:sz w:val="24"/>
          <w:szCs w:val="21"/>
          <w:highlight w:val="none"/>
        </w:rPr>
        <w:t>采购人（代理公司）</w:t>
      </w:r>
      <w:r>
        <w:rPr>
          <w:rFonts w:hint="eastAsia" w:ascii="宋体" w:hAnsi="宋体" w:eastAsia="宋体" w:cs="Times New Roman"/>
          <w:color w:val="000000"/>
          <w:kern w:val="0"/>
          <w:sz w:val="24"/>
          <w:highlight w:val="none"/>
        </w:rPr>
        <w:t>有权按照法定的要求</w:t>
      </w:r>
      <w:r>
        <w:rPr>
          <w:rFonts w:hint="eastAsia" w:ascii="宋体" w:hAnsi="宋体" w:eastAsia="宋体" w:cs="Times New Roman"/>
          <w:color w:val="000000"/>
          <w:kern w:val="0"/>
          <w:sz w:val="24"/>
          <w:szCs w:val="21"/>
          <w:highlight w:val="none"/>
        </w:rPr>
        <w:t>推迟投标截止日期和开标日期。</w:t>
      </w:r>
    </w:p>
    <w:p w14:paraId="18CB4A9F">
      <w:pPr>
        <w:spacing w:line="500" w:lineRule="exact"/>
        <w:ind w:firstLine="480"/>
        <w:rPr>
          <w:rFonts w:hint="eastAsia" w:ascii="宋体" w:hAnsi="宋体" w:eastAsia="宋体" w:cs="Times New Roman"/>
          <w:color w:val="000000"/>
          <w:kern w:val="0"/>
          <w:sz w:val="24"/>
          <w:szCs w:val="21"/>
          <w:highlight w:val="none"/>
        </w:rPr>
      </w:pPr>
      <w:r>
        <w:rPr>
          <w:rFonts w:hint="eastAsia" w:ascii="宋体" w:hAnsi="宋体" w:eastAsia="宋体" w:cs="Times New Roman"/>
          <w:bCs/>
          <w:color w:val="000000"/>
          <w:kern w:val="0"/>
          <w:sz w:val="24"/>
          <w:szCs w:val="21"/>
          <w:highlight w:val="none"/>
        </w:rPr>
        <w:t xml:space="preserve">8.3 </w:t>
      </w:r>
      <w:r>
        <w:rPr>
          <w:rFonts w:hint="eastAsia" w:ascii="宋体" w:hAnsi="宋体" w:eastAsia="宋体" w:cs="Times New Roman"/>
          <w:color w:val="000000"/>
          <w:kern w:val="0"/>
          <w:sz w:val="24"/>
          <w:szCs w:val="21"/>
          <w:highlight w:val="none"/>
        </w:rPr>
        <w:t>招标文件的修改将在江苏政府采购网公布，</w:t>
      </w:r>
      <w:r>
        <w:rPr>
          <w:rFonts w:hint="eastAsia" w:ascii="宋体" w:hAnsi="宋体" w:eastAsia="宋体" w:cs="Times New Roman"/>
          <w:color w:val="000000"/>
          <w:kern w:val="0"/>
          <w:sz w:val="24"/>
          <w:highlight w:val="none"/>
        </w:rPr>
        <w:t>补充文件将作为招标文件的组成部分，</w:t>
      </w:r>
      <w:r>
        <w:rPr>
          <w:rFonts w:hint="eastAsia" w:ascii="宋体" w:hAnsi="宋体" w:eastAsia="宋体" w:cs="Times New Roman"/>
          <w:color w:val="000000"/>
          <w:kern w:val="0"/>
          <w:sz w:val="24"/>
          <w:szCs w:val="21"/>
          <w:highlight w:val="none"/>
        </w:rPr>
        <w:t>并对投标人具有约束力。</w:t>
      </w:r>
    </w:p>
    <w:p w14:paraId="49FA61F8">
      <w:pPr>
        <w:keepNext/>
        <w:keepLines/>
        <w:spacing w:before="145" w:after="145" w:line="360" w:lineRule="auto"/>
        <w:ind w:firstLine="482"/>
        <w:outlineLvl w:val="2"/>
        <w:rPr>
          <w:rFonts w:ascii="Times New Roman" w:hAnsi="Times New Roman" w:eastAsia="宋体" w:cs="Times New Roman"/>
          <w:b/>
          <w:bCs/>
          <w:color w:val="000000"/>
          <w:sz w:val="32"/>
          <w:szCs w:val="32"/>
          <w:highlight w:val="none"/>
        </w:rPr>
      </w:pPr>
      <w:bookmarkStart w:id="83" w:name="_Toc20823285"/>
      <w:bookmarkStart w:id="84" w:name="_Toc120614216"/>
      <w:bookmarkStart w:id="85" w:name="_Toc513029213"/>
      <w:bookmarkStart w:id="86" w:name="_Toc462564072"/>
      <w:bookmarkStart w:id="87" w:name="_Toc16938529"/>
      <w:r>
        <w:rPr>
          <w:rFonts w:hint="eastAsia" w:ascii="Times New Roman" w:hAnsi="Times New Roman" w:eastAsia="宋体" w:cs="Times New Roman"/>
          <w:b/>
          <w:bCs/>
          <w:color w:val="000000"/>
          <w:sz w:val="32"/>
          <w:szCs w:val="32"/>
          <w:highlight w:val="none"/>
        </w:rPr>
        <w:t>三、投标文件的编制</w:t>
      </w:r>
      <w:bookmarkEnd w:id="83"/>
      <w:bookmarkEnd w:id="84"/>
      <w:bookmarkEnd w:id="85"/>
      <w:bookmarkEnd w:id="86"/>
      <w:bookmarkEnd w:id="87"/>
    </w:p>
    <w:p w14:paraId="54008CB2">
      <w:pPr>
        <w:keepNext/>
        <w:keepLines/>
        <w:ind w:firstLine="560"/>
        <w:outlineLvl w:val="3"/>
        <w:rPr>
          <w:rFonts w:hint="eastAsia" w:ascii="Arial" w:hAnsi="Arial" w:eastAsia="黑体" w:cs="Arial"/>
          <w:color w:val="000000"/>
          <w:sz w:val="28"/>
          <w:szCs w:val="28"/>
          <w:highlight w:val="none"/>
        </w:rPr>
      </w:pPr>
      <w:bookmarkStart w:id="88" w:name="_Toc16938530"/>
      <w:bookmarkStart w:id="89" w:name="_Toc20823286"/>
      <w:bookmarkStart w:id="90" w:name="_Toc513029214"/>
      <w:bookmarkStart w:id="91" w:name="_Toc462564073"/>
      <w:r>
        <w:rPr>
          <w:rFonts w:hint="eastAsia" w:ascii="Arial" w:hAnsi="Arial" w:eastAsia="黑体" w:cs="Arial"/>
          <w:color w:val="000000"/>
          <w:sz w:val="28"/>
          <w:szCs w:val="28"/>
          <w:highlight w:val="none"/>
        </w:rPr>
        <w:t>9、投标文件编写注意事项</w:t>
      </w:r>
    </w:p>
    <w:p w14:paraId="44ADDF16">
      <w:pPr>
        <w:keepNext w:val="0"/>
        <w:keepLines w:val="0"/>
        <w:spacing w:line="500" w:lineRule="exact"/>
        <w:ind w:firstLine="480"/>
        <w:outlineLvl w:val="9"/>
        <w:rPr>
          <w:rFonts w:hint="eastAsia" w:ascii="宋体" w:hAnsi="宋体" w:eastAsia="宋体" w:cs="Times New Roman"/>
          <w:bCs/>
          <w:color w:val="000000"/>
          <w:kern w:val="0"/>
          <w:sz w:val="24"/>
          <w:szCs w:val="21"/>
        </w:rPr>
      </w:pPr>
      <w:r>
        <w:rPr>
          <w:rFonts w:hint="eastAsia" w:ascii="宋体" w:hAnsi="宋体" w:eastAsia="宋体" w:cs="Times New Roman"/>
          <w:bCs/>
          <w:color w:val="000000"/>
          <w:kern w:val="0"/>
          <w:sz w:val="24"/>
          <w:szCs w:val="21"/>
        </w:rPr>
        <w:t>9.1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投标处理。</w:t>
      </w:r>
    </w:p>
    <w:p w14:paraId="68F24F57">
      <w:pPr>
        <w:keepNext w:val="0"/>
        <w:keepLines w:val="0"/>
        <w:spacing w:line="500" w:lineRule="exact"/>
        <w:ind w:firstLine="480"/>
        <w:outlineLvl w:val="9"/>
        <w:rPr>
          <w:rFonts w:hint="eastAsia" w:ascii="宋体" w:hAnsi="宋体" w:eastAsia="宋体" w:cs="Times New Roman"/>
          <w:bCs/>
          <w:color w:val="000000"/>
          <w:kern w:val="0"/>
          <w:sz w:val="24"/>
          <w:szCs w:val="21"/>
        </w:rPr>
      </w:pPr>
      <w:r>
        <w:rPr>
          <w:rFonts w:hint="eastAsia" w:ascii="宋体" w:hAnsi="宋体" w:eastAsia="宋体" w:cs="Times New Roman"/>
          <w:bCs/>
          <w:color w:val="000000"/>
          <w:kern w:val="0"/>
          <w:sz w:val="24"/>
          <w:szCs w:val="21"/>
        </w:rPr>
        <w:t>9.2对招标文件提出的实质性要求和条件作出响应是指投标人必须对招标文件中标明实质性要求和条件的技术参数及性能配置、数量、价格、售后服务、合同主要条款及其它要求等内容逐条作出满足原要求和条件的响应。</w:t>
      </w:r>
    </w:p>
    <w:bookmarkEnd w:id="88"/>
    <w:bookmarkEnd w:id="89"/>
    <w:bookmarkEnd w:id="90"/>
    <w:bookmarkEnd w:id="91"/>
    <w:p w14:paraId="366E6249">
      <w:pPr>
        <w:keepNext/>
        <w:keepLines/>
        <w:ind w:firstLine="420"/>
        <w:outlineLvl w:val="3"/>
        <w:rPr>
          <w:rFonts w:hint="eastAsia" w:ascii="Arial" w:hAnsi="Arial" w:eastAsia="黑体" w:cs="Arial"/>
          <w:color w:val="000000"/>
          <w:sz w:val="28"/>
          <w:szCs w:val="28"/>
          <w:highlight w:val="none"/>
        </w:rPr>
      </w:pPr>
      <w:bookmarkStart w:id="92" w:name="_Toc462564074"/>
      <w:bookmarkStart w:id="93" w:name="_Toc16938531"/>
      <w:bookmarkStart w:id="94" w:name="_Toc20823287"/>
      <w:bookmarkStart w:id="95" w:name="_Toc513029215"/>
      <w:r>
        <w:rPr>
          <w:rFonts w:hint="eastAsia" w:ascii="Arial" w:hAnsi="Arial" w:eastAsia="黑体" w:cs="Arial"/>
          <w:color w:val="000000"/>
          <w:sz w:val="28"/>
          <w:szCs w:val="28"/>
          <w:highlight w:val="none"/>
        </w:rPr>
        <w:t>10、投标文件的语言及度量衡单位</w:t>
      </w:r>
    </w:p>
    <w:p w14:paraId="65D2315A">
      <w:pPr>
        <w:keepNext w:val="0"/>
        <w:keepLines w:val="0"/>
        <w:spacing w:line="500" w:lineRule="exact"/>
        <w:ind w:firstLine="480"/>
        <w:outlineLvl w:val="9"/>
        <w:rPr>
          <w:rFonts w:hint="eastAsia" w:ascii="宋体" w:hAnsi="宋体" w:eastAsia="宋体" w:cs="Times New Roman"/>
          <w:bCs/>
          <w:color w:val="000000"/>
          <w:kern w:val="0"/>
          <w:sz w:val="24"/>
          <w:szCs w:val="21"/>
        </w:rPr>
      </w:pPr>
      <w:r>
        <w:rPr>
          <w:rFonts w:hint="eastAsia" w:ascii="宋体" w:hAnsi="宋体" w:eastAsia="宋体" w:cs="Times New Roman"/>
          <w:bCs/>
          <w:color w:val="000000"/>
          <w:kern w:val="0"/>
          <w:sz w:val="24"/>
          <w:szCs w:val="21"/>
        </w:rPr>
        <w:t>10.1除专用术语外，投标人提交的投标文件以及投标人与采购人和采购中心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p>
    <w:p w14:paraId="5A2D2FFE">
      <w:pPr>
        <w:keepNext w:val="0"/>
        <w:keepLines w:val="0"/>
        <w:spacing w:line="500" w:lineRule="exact"/>
        <w:ind w:firstLine="480"/>
        <w:outlineLvl w:val="9"/>
        <w:rPr>
          <w:rFonts w:hint="eastAsia" w:ascii="宋体" w:hAnsi="宋体" w:eastAsia="宋体" w:cs="Times New Roman"/>
          <w:bCs/>
          <w:color w:val="000000"/>
          <w:kern w:val="0"/>
          <w:sz w:val="24"/>
          <w:szCs w:val="21"/>
        </w:rPr>
      </w:pPr>
      <w:r>
        <w:rPr>
          <w:rFonts w:hint="eastAsia" w:ascii="宋体" w:hAnsi="宋体" w:eastAsia="宋体" w:cs="Times New Roman"/>
          <w:bCs/>
          <w:color w:val="000000"/>
          <w:kern w:val="0"/>
          <w:sz w:val="24"/>
          <w:szCs w:val="21"/>
        </w:rPr>
        <w:t>10.2除技术性能另有规定外，投标文件所使用的度量衡单位，均须采用国家法定计量单位。</w:t>
      </w:r>
    </w:p>
    <w:p w14:paraId="00AEB90C">
      <w:pPr>
        <w:keepNext/>
        <w:keepLines/>
        <w:ind w:firstLine="420"/>
        <w:outlineLvl w:val="3"/>
        <w:rPr>
          <w:rFonts w:hint="eastAsia" w:ascii="Arial" w:hAnsi="Arial" w:eastAsia="黑体" w:cs="Arial"/>
          <w:color w:val="000000"/>
          <w:sz w:val="28"/>
          <w:szCs w:val="28"/>
          <w:highlight w:val="none"/>
        </w:rPr>
      </w:pPr>
      <w:r>
        <w:rPr>
          <w:rFonts w:hint="eastAsia" w:ascii="Arial" w:hAnsi="Arial" w:eastAsia="黑体" w:cs="Arial"/>
          <w:color w:val="000000"/>
          <w:sz w:val="28"/>
          <w:szCs w:val="28"/>
          <w:highlight w:val="none"/>
        </w:rPr>
        <w:t>11、投标文件的构成</w:t>
      </w:r>
    </w:p>
    <w:p w14:paraId="584AFFEF">
      <w:pPr>
        <w:keepNext w:val="0"/>
        <w:keepLines w:val="0"/>
        <w:spacing w:line="500" w:lineRule="exact"/>
        <w:ind w:firstLine="480"/>
        <w:outlineLvl w:val="9"/>
        <w:rPr>
          <w:rFonts w:hint="eastAsia" w:ascii="宋体" w:hAnsi="宋体" w:eastAsia="宋体" w:cs="Times New Roman"/>
          <w:bCs/>
          <w:color w:val="000000"/>
          <w:kern w:val="0"/>
          <w:sz w:val="24"/>
          <w:szCs w:val="21"/>
        </w:rPr>
      </w:pPr>
      <w:r>
        <w:rPr>
          <w:rFonts w:hint="eastAsia" w:ascii="宋体" w:hAnsi="宋体" w:eastAsia="宋体" w:cs="Times New Roman"/>
          <w:bCs/>
          <w:color w:val="000000"/>
          <w:kern w:val="0"/>
          <w:sz w:val="24"/>
          <w:szCs w:val="21"/>
        </w:rPr>
        <w:t>11.1投标人编写的投标文件应包括资格证明文件、符合性证明文件、投标分项报价表、技术要求响应及偏离表、商务要求响应及偏离表、其他证明文件、投标函、开标一览表等部分。</w:t>
      </w:r>
    </w:p>
    <w:p w14:paraId="783EFB16">
      <w:pPr>
        <w:keepNext w:val="0"/>
        <w:keepLines w:val="0"/>
        <w:spacing w:line="500" w:lineRule="exact"/>
        <w:ind w:firstLine="480"/>
        <w:outlineLvl w:val="9"/>
        <w:rPr>
          <w:rFonts w:hint="eastAsia" w:ascii="宋体" w:hAnsi="宋体" w:eastAsia="宋体" w:cs="Times New Roman"/>
          <w:bCs/>
          <w:color w:val="000000"/>
          <w:kern w:val="0"/>
          <w:sz w:val="24"/>
          <w:szCs w:val="21"/>
        </w:rPr>
      </w:pPr>
      <w:r>
        <w:rPr>
          <w:rFonts w:hint="eastAsia" w:ascii="宋体" w:hAnsi="宋体" w:eastAsia="宋体" w:cs="Times New Roman"/>
          <w:bCs/>
          <w:color w:val="000000"/>
          <w:kern w:val="0"/>
          <w:sz w:val="24"/>
          <w:szCs w:val="21"/>
        </w:rPr>
        <w:t>11.2如投标文件制作工具中格式和内容与江苏政府采购网发布的招标文件不一致，请以江苏政府采购网发布的招标文件为准。</w:t>
      </w:r>
    </w:p>
    <w:p w14:paraId="192284DB">
      <w:pPr>
        <w:keepNext w:val="0"/>
        <w:keepLines w:val="0"/>
        <w:spacing w:line="500" w:lineRule="exact"/>
        <w:ind w:firstLine="480"/>
        <w:outlineLvl w:val="9"/>
        <w:rPr>
          <w:rFonts w:hint="eastAsia" w:ascii="宋体" w:hAnsi="宋体" w:eastAsia="宋体" w:cs="Times New Roman"/>
          <w:bCs/>
          <w:color w:val="000000"/>
          <w:kern w:val="0"/>
          <w:sz w:val="24"/>
          <w:szCs w:val="21"/>
        </w:rPr>
      </w:pPr>
      <w:r>
        <w:rPr>
          <w:rFonts w:hint="eastAsia" w:ascii="宋体" w:hAnsi="宋体" w:eastAsia="宋体" w:cs="Times New Roman"/>
          <w:bCs/>
          <w:color w:val="000000"/>
          <w:kern w:val="0"/>
          <w:sz w:val="24"/>
          <w:szCs w:val="21"/>
        </w:rPr>
        <w:t>11.3特别提醒投标人，混乱的编排导致投标文件被误读或评标委员会（以下简称评委会）查找不到有效文件是投标人的风险。</w:t>
      </w:r>
    </w:p>
    <w:p w14:paraId="3FD2CAE7">
      <w:pPr>
        <w:keepNext/>
        <w:keepLines/>
        <w:ind w:firstLine="420"/>
        <w:outlineLvl w:val="3"/>
        <w:rPr>
          <w:rFonts w:hint="eastAsia" w:ascii="Arial" w:hAnsi="Arial" w:eastAsia="黑体" w:cs="Arial"/>
          <w:color w:val="000000"/>
          <w:sz w:val="28"/>
          <w:szCs w:val="28"/>
          <w:highlight w:val="none"/>
        </w:rPr>
      </w:pPr>
      <w:r>
        <w:rPr>
          <w:rFonts w:hint="eastAsia" w:ascii="Arial" w:hAnsi="Arial" w:eastAsia="黑体" w:cs="Arial"/>
          <w:color w:val="000000"/>
          <w:sz w:val="28"/>
          <w:szCs w:val="28"/>
          <w:highlight w:val="none"/>
        </w:rPr>
        <w:t>12、证明投标人及投标标的符合招标文件规定的文件</w:t>
      </w:r>
    </w:p>
    <w:p w14:paraId="49850CBF">
      <w:pPr>
        <w:keepNext w:val="0"/>
        <w:keepLines w:val="0"/>
        <w:spacing w:line="500" w:lineRule="exact"/>
        <w:ind w:firstLine="480"/>
        <w:outlineLvl w:val="9"/>
        <w:rPr>
          <w:rFonts w:hint="eastAsia" w:ascii="宋体" w:hAnsi="宋体" w:eastAsia="宋体" w:cs="Times New Roman"/>
          <w:bCs/>
          <w:color w:val="000000"/>
          <w:kern w:val="0"/>
          <w:sz w:val="24"/>
          <w:szCs w:val="21"/>
        </w:rPr>
      </w:pPr>
      <w:r>
        <w:rPr>
          <w:rFonts w:hint="eastAsia" w:ascii="宋体" w:hAnsi="宋体" w:eastAsia="宋体" w:cs="Times New Roman"/>
          <w:bCs/>
          <w:color w:val="000000"/>
          <w:kern w:val="0"/>
          <w:sz w:val="24"/>
          <w:szCs w:val="21"/>
        </w:rPr>
        <w:t>12.1投标人应按照招标文件要求提交证明文件，证明其及投标标的符合招标文件规定。</w:t>
      </w:r>
    </w:p>
    <w:p w14:paraId="0FABFC9C">
      <w:pPr>
        <w:keepNext w:val="0"/>
        <w:keepLines w:val="0"/>
        <w:spacing w:line="500" w:lineRule="exact"/>
        <w:ind w:firstLine="480"/>
        <w:outlineLvl w:val="9"/>
        <w:rPr>
          <w:rFonts w:hint="eastAsia" w:ascii="宋体" w:hAnsi="宋体" w:eastAsia="宋体" w:cs="Times New Roman"/>
          <w:bCs/>
          <w:color w:val="000000"/>
          <w:kern w:val="0"/>
          <w:sz w:val="24"/>
          <w:szCs w:val="21"/>
        </w:rPr>
      </w:pPr>
      <w:r>
        <w:rPr>
          <w:rFonts w:hint="eastAsia" w:ascii="宋体" w:hAnsi="宋体" w:eastAsia="宋体" w:cs="Times New Roman"/>
          <w:bCs/>
          <w:color w:val="000000"/>
          <w:kern w:val="0"/>
          <w:sz w:val="24"/>
          <w:szCs w:val="21"/>
        </w:rPr>
        <w:t>12.2招标文件对证明文件无明确形式要求的，证明文件可以以文字资料、图纸和数据等形式提交。</w:t>
      </w:r>
    </w:p>
    <w:p w14:paraId="394084A3">
      <w:pPr>
        <w:keepNext w:val="0"/>
        <w:keepLines w:val="0"/>
        <w:spacing w:line="500" w:lineRule="exact"/>
        <w:ind w:firstLine="480"/>
        <w:outlineLvl w:val="9"/>
        <w:rPr>
          <w:rFonts w:hint="eastAsia" w:ascii="宋体" w:hAnsi="宋体" w:eastAsia="宋体" w:cs="Times New Roman"/>
          <w:bCs/>
          <w:color w:val="000000"/>
          <w:kern w:val="0"/>
          <w:sz w:val="24"/>
          <w:szCs w:val="21"/>
        </w:rPr>
      </w:pPr>
      <w:r>
        <w:rPr>
          <w:rFonts w:hint="eastAsia" w:ascii="宋体" w:hAnsi="宋体" w:eastAsia="宋体" w:cs="Times New Roman"/>
          <w:bCs/>
          <w:color w:val="000000"/>
          <w:kern w:val="0"/>
          <w:sz w:val="24"/>
          <w:szCs w:val="21"/>
        </w:rPr>
        <w:t>12.3投标人委托代理时应当提交授权委托书，请按招标文件第六章给定格式及要求填写并附法定代表人（单位负责人）与委托代理人身份证明。</w:t>
      </w:r>
    </w:p>
    <w:p w14:paraId="188EA8BD">
      <w:pPr>
        <w:keepNext/>
        <w:keepLines/>
        <w:ind w:firstLine="420"/>
        <w:outlineLvl w:val="3"/>
        <w:rPr>
          <w:rFonts w:hint="eastAsia" w:ascii="Arial" w:hAnsi="Arial" w:eastAsia="黑体" w:cs="Arial"/>
          <w:color w:val="000000"/>
          <w:sz w:val="28"/>
          <w:szCs w:val="28"/>
          <w:highlight w:val="none"/>
        </w:rPr>
      </w:pPr>
      <w:r>
        <w:rPr>
          <w:rFonts w:hint="eastAsia" w:ascii="Arial" w:hAnsi="Arial" w:eastAsia="黑体" w:cs="Arial"/>
          <w:color w:val="000000"/>
          <w:sz w:val="28"/>
          <w:szCs w:val="28"/>
          <w:highlight w:val="none"/>
        </w:rPr>
        <w:t>13、投标分项报价表</w:t>
      </w:r>
    </w:p>
    <w:p w14:paraId="6DB42E1E">
      <w:pPr>
        <w:keepNext w:val="0"/>
        <w:keepLines w:val="0"/>
        <w:spacing w:line="500" w:lineRule="exact"/>
        <w:ind w:firstLine="480"/>
        <w:outlineLvl w:val="9"/>
        <w:rPr>
          <w:rFonts w:hint="eastAsia" w:ascii="宋体" w:hAnsi="宋体" w:eastAsia="宋体" w:cs="Times New Roman"/>
          <w:bCs/>
          <w:color w:val="000000"/>
          <w:kern w:val="0"/>
          <w:sz w:val="24"/>
          <w:szCs w:val="21"/>
        </w:rPr>
      </w:pPr>
      <w:r>
        <w:rPr>
          <w:rFonts w:hint="eastAsia" w:ascii="宋体" w:hAnsi="宋体" w:eastAsia="宋体" w:cs="Times New Roman"/>
          <w:bCs/>
          <w:color w:val="000000"/>
          <w:kern w:val="0"/>
          <w:sz w:val="24"/>
          <w:szCs w:val="21"/>
        </w:rPr>
        <w:t>13.1投标报价指货物（标的）的报价和标准附件、备品备件、专用工具、运输、装卸、验收合格所需的各种费用及必要的保险费用和各项税金等所有费用的总和。投标报价为现场交货价，投标报价必须含以下部分：</w:t>
      </w:r>
    </w:p>
    <w:p w14:paraId="211C9285">
      <w:pPr>
        <w:keepNext w:val="0"/>
        <w:keepLines w:val="0"/>
        <w:spacing w:line="500" w:lineRule="exact"/>
        <w:ind w:firstLine="480"/>
        <w:outlineLvl w:val="9"/>
        <w:rPr>
          <w:rFonts w:hint="eastAsia" w:ascii="宋体" w:hAnsi="宋体" w:eastAsia="宋体" w:cs="Times New Roman"/>
          <w:bCs/>
          <w:color w:val="000000"/>
          <w:kern w:val="0"/>
          <w:sz w:val="24"/>
          <w:szCs w:val="21"/>
        </w:rPr>
      </w:pPr>
      <w:r>
        <w:rPr>
          <w:rFonts w:hint="eastAsia" w:ascii="宋体" w:hAnsi="宋体" w:eastAsia="宋体" w:cs="Times New Roman"/>
          <w:bCs/>
          <w:color w:val="000000"/>
          <w:kern w:val="0"/>
          <w:sz w:val="24"/>
          <w:szCs w:val="21"/>
        </w:rPr>
        <w:t>（1）投标的货物总价；</w:t>
      </w:r>
    </w:p>
    <w:p w14:paraId="7E337E9A">
      <w:pPr>
        <w:keepNext w:val="0"/>
        <w:keepLines w:val="0"/>
        <w:spacing w:line="500" w:lineRule="exact"/>
        <w:ind w:firstLine="480"/>
        <w:outlineLvl w:val="9"/>
        <w:rPr>
          <w:rFonts w:hint="eastAsia" w:ascii="宋体" w:hAnsi="宋体" w:eastAsia="宋体" w:cs="Times New Roman"/>
          <w:bCs/>
          <w:color w:val="000000"/>
          <w:kern w:val="0"/>
          <w:sz w:val="24"/>
          <w:szCs w:val="21"/>
        </w:rPr>
      </w:pPr>
      <w:r>
        <w:rPr>
          <w:rFonts w:hint="eastAsia" w:ascii="宋体" w:hAnsi="宋体" w:eastAsia="宋体" w:cs="Times New Roman"/>
          <w:bCs/>
          <w:color w:val="000000"/>
          <w:kern w:val="0"/>
          <w:sz w:val="24"/>
          <w:szCs w:val="21"/>
        </w:rPr>
        <w:t>（2）货物的标准附件、备品备件、专用工具、运输、装卸等各种费用；</w:t>
      </w:r>
    </w:p>
    <w:p w14:paraId="6BD7C597">
      <w:pPr>
        <w:keepNext w:val="0"/>
        <w:keepLines w:val="0"/>
        <w:spacing w:line="500" w:lineRule="exact"/>
        <w:ind w:firstLine="480"/>
        <w:outlineLvl w:val="9"/>
        <w:rPr>
          <w:rFonts w:hint="eastAsia" w:ascii="宋体" w:hAnsi="宋体" w:eastAsia="宋体" w:cs="Times New Roman"/>
          <w:bCs/>
          <w:color w:val="000000"/>
          <w:kern w:val="0"/>
          <w:sz w:val="24"/>
          <w:szCs w:val="21"/>
        </w:rPr>
      </w:pPr>
      <w:r>
        <w:rPr>
          <w:rFonts w:hint="eastAsia" w:ascii="宋体" w:hAnsi="宋体" w:eastAsia="宋体" w:cs="Times New Roman"/>
          <w:bCs/>
          <w:color w:val="000000"/>
          <w:kern w:val="0"/>
          <w:sz w:val="24"/>
          <w:szCs w:val="21"/>
        </w:rPr>
        <w:t>（3）必要的保险费用和各项税金；</w:t>
      </w:r>
    </w:p>
    <w:p w14:paraId="12A62506">
      <w:pPr>
        <w:keepNext w:val="0"/>
        <w:keepLines w:val="0"/>
        <w:spacing w:line="500" w:lineRule="exact"/>
        <w:ind w:firstLine="480"/>
        <w:outlineLvl w:val="9"/>
        <w:rPr>
          <w:rFonts w:hint="eastAsia" w:ascii="宋体" w:hAnsi="宋体" w:eastAsia="宋体" w:cs="Times New Roman"/>
          <w:bCs/>
          <w:color w:val="000000"/>
          <w:kern w:val="0"/>
          <w:sz w:val="24"/>
          <w:szCs w:val="21"/>
        </w:rPr>
      </w:pPr>
      <w:r>
        <w:rPr>
          <w:rFonts w:hint="eastAsia" w:ascii="宋体" w:hAnsi="宋体" w:eastAsia="宋体" w:cs="Times New Roman"/>
          <w:bCs/>
          <w:color w:val="000000"/>
          <w:kern w:val="0"/>
          <w:sz w:val="24"/>
          <w:szCs w:val="21"/>
        </w:rPr>
        <w:t>（4）投标总价要求包含安装维保费用。</w:t>
      </w:r>
    </w:p>
    <w:p w14:paraId="4A37A850">
      <w:pPr>
        <w:keepNext w:val="0"/>
        <w:keepLines w:val="0"/>
        <w:spacing w:line="500" w:lineRule="exact"/>
        <w:ind w:firstLine="480"/>
        <w:outlineLvl w:val="9"/>
        <w:rPr>
          <w:rFonts w:hint="eastAsia" w:ascii="宋体" w:hAnsi="宋体" w:eastAsia="宋体" w:cs="Times New Roman"/>
          <w:bCs/>
          <w:color w:val="000000"/>
          <w:kern w:val="0"/>
          <w:sz w:val="24"/>
          <w:szCs w:val="21"/>
        </w:rPr>
      </w:pPr>
      <w:r>
        <w:rPr>
          <w:rFonts w:hint="eastAsia" w:ascii="宋体" w:hAnsi="宋体" w:eastAsia="宋体" w:cs="Times New Roman"/>
          <w:bCs/>
          <w:color w:val="000000"/>
          <w:kern w:val="0"/>
          <w:sz w:val="24"/>
          <w:szCs w:val="21"/>
        </w:rPr>
        <w:t>13.2投标人应根据投标报价要求在投标分项报价表中列明各项投标单价、总价等，未全部列示的作无效投标处理。</w:t>
      </w:r>
    </w:p>
    <w:p w14:paraId="26D4310F">
      <w:pPr>
        <w:keepNext w:val="0"/>
        <w:keepLines w:val="0"/>
        <w:spacing w:line="500" w:lineRule="exact"/>
        <w:ind w:firstLine="480"/>
        <w:outlineLvl w:val="9"/>
        <w:rPr>
          <w:rFonts w:hint="eastAsia" w:ascii="宋体" w:hAnsi="宋体" w:eastAsia="宋体" w:cs="Times New Roman"/>
          <w:bCs/>
          <w:color w:val="000000"/>
          <w:kern w:val="0"/>
          <w:sz w:val="24"/>
          <w:szCs w:val="21"/>
        </w:rPr>
      </w:pPr>
      <w:r>
        <w:rPr>
          <w:rFonts w:hint="eastAsia" w:ascii="宋体" w:hAnsi="宋体" w:eastAsia="宋体" w:cs="Times New Roman"/>
          <w:bCs/>
          <w:color w:val="000000"/>
          <w:kern w:val="0"/>
          <w:sz w:val="24"/>
          <w:szCs w:val="21"/>
        </w:rPr>
        <w:t>13.3投标文件中的单价和总价无特殊规定的采用人民币报价，以元为单位标注。招标文件中另有规定的按规定执行。</w:t>
      </w:r>
    </w:p>
    <w:p w14:paraId="52E6CA80">
      <w:pPr>
        <w:keepNext/>
        <w:keepLines/>
        <w:ind w:firstLine="420"/>
        <w:outlineLvl w:val="3"/>
        <w:rPr>
          <w:rFonts w:hint="eastAsia" w:ascii="Arial" w:hAnsi="Arial" w:eastAsia="黑体" w:cs="Arial"/>
          <w:color w:val="000000"/>
          <w:sz w:val="28"/>
          <w:szCs w:val="28"/>
          <w:highlight w:val="none"/>
        </w:rPr>
      </w:pPr>
      <w:r>
        <w:rPr>
          <w:rFonts w:hint="eastAsia" w:ascii="Arial" w:hAnsi="Arial" w:eastAsia="黑体" w:cs="Arial"/>
          <w:color w:val="000000"/>
          <w:sz w:val="28"/>
          <w:szCs w:val="28"/>
          <w:highlight w:val="none"/>
        </w:rPr>
        <w:t>14、技术要求响应及偏离表、商务要求响应及偏离表</w:t>
      </w:r>
    </w:p>
    <w:p w14:paraId="2F7D6117">
      <w:pPr>
        <w:keepNext w:val="0"/>
        <w:keepLines w:val="0"/>
        <w:spacing w:line="500" w:lineRule="exact"/>
        <w:ind w:firstLine="480"/>
        <w:outlineLvl w:val="9"/>
        <w:rPr>
          <w:rFonts w:hint="eastAsia" w:ascii="宋体" w:hAnsi="宋体" w:eastAsia="宋体" w:cs="Times New Roman"/>
          <w:bCs/>
          <w:color w:val="000000"/>
          <w:kern w:val="0"/>
          <w:sz w:val="24"/>
          <w:szCs w:val="21"/>
        </w:rPr>
      </w:pPr>
      <w:r>
        <w:rPr>
          <w:rFonts w:hint="eastAsia" w:ascii="宋体" w:hAnsi="宋体" w:eastAsia="宋体" w:cs="Times New Roman"/>
          <w:bCs/>
          <w:color w:val="000000"/>
          <w:kern w:val="0"/>
          <w:sz w:val="24"/>
          <w:szCs w:val="21"/>
        </w:rPr>
        <w:t>14.1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p>
    <w:p w14:paraId="69064CDE">
      <w:pPr>
        <w:keepNext w:val="0"/>
        <w:keepLines w:val="0"/>
        <w:spacing w:line="500" w:lineRule="exact"/>
        <w:ind w:firstLine="480"/>
        <w:outlineLvl w:val="9"/>
        <w:rPr>
          <w:rFonts w:hint="eastAsia" w:ascii="宋体" w:hAnsi="宋体" w:eastAsia="宋体" w:cs="Times New Roman"/>
          <w:bCs/>
          <w:color w:val="000000"/>
          <w:kern w:val="0"/>
          <w:sz w:val="24"/>
          <w:szCs w:val="21"/>
        </w:rPr>
      </w:pPr>
      <w:r>
        <w:rPr>
          <w:rFonts w:hint="eastAsia" w:ascii="宋体" w:hAnsi="宋体" w:eastAsia="宋体" w:cs="Times New Roman"/>
          <w:bCs/>
          <w:color w:val="000000"/>
          <w:kern w:val="0"/>
          <w:sz w:val="24"/>
          <w:szCs w:val="21"/>
        </w:rPr>
        <w:t>14.2投标人可在投标文件中提供认为需要的其他技术文件或说明。</w:t>
      </w:r>
    </w:p>
    <w:p w14:paraId="3FA17C9F">
      <w:pPr>
        <w:keepNext/>
        <w:keepLines/>
        <w:ind w:firstLine="420"/>
        <w:outlineLvl w:val="3"/>
        <w:rPr>
          <w:rFonts w:hint="eastAsia" w:ascii="Arial" w:hAnsi="Arial" w:eastAsia="黑体" w:cs="Arial"/>
          <w:color w:val="000000"/>
          <w:sz w:val="28"/>
          <w:szCs w:val="28"/>
          <w:highlight w:val="none"/>
        </w:rPr>
      </w:pPr>
      <w:r>
        <w:rPr>
          <w:rFonts w:hint="eastAsia" w:ascii="Arial" w:hAnsi="Arial" w:eastAsia="黑体" w:cs="Arial"/>
          <w:color w:val="000000"/>
          <w:sz w:val="28"/>
          <w:szCs w:val="28"/>
          <w:highlight w:val="none"/>
        </w:rPr>
        <w:t>15、服务承诺、培训计划、人员安排及其他</w:t>
      </w:r>
    </w:p>
    <w:p w14:paraId="052A0E29">
      <w:pPr>
        <w:keepNext w:val="0"/>
        <w:keepLines w:val="0"/>
        <w:spacing w:line="500" w:lineRule="exact"/>
        <w:ind w:firstLine="480"/>
        <w:outlineLvl w:val="9"/>
        <w:rPr>
          <w:rFonts w:hint="eastAsia" w:ascii="宋体" w:hAnsi="宋体" w:eastAsia="宋体" w:cs="Times New Roman"/>
          <w:bCs/>
          <w:color w:val="000000"/>
          <w:kern w:val="0"/>
          <w:sz w:val="24"/>
          <w:szCs w:val="21"/>
        </w:rPr>
      </w:pPr>
      <w:r>
        <w:rPr>
          <w:rFonts w:hint="eastAsia" w:ascii="宋体" w:hAnsi="宋体" w:eastAsia="宋体" w:cs="Times New Roman"/>
          <w:bCs/>
          <w:color w:val="000000"/>
          <w:kern w:val="0"/>
          <w:sz w:val="24"/>
          <w:szCs w:val="21"/>
        </w:rPr>
        <w:t>15.1投标人应根据招标文件要求提供有关售后服务的管理制度，售后服务机构的分布情况，售后服务人员的数量、素质、技术水平及售后服务的反应能力等。</w:t>
      </w:r>
    </w:p>
    <w:p w14:paraId="0DBB1890">
      <w:pPr>
        <w:keepNext w:val="0"/>
        <w:keepLines w:val="0"/>
        <w:spacing w:line="500" w:lineRule="exact"/>
        <w:ind w:firstLine="480"/>
        <w:outlineLvl w:val="9"/>
        <w:rPr>
          <w:rFonts w:hint="eastAsia" w:ascii="宋体" w:hAnsi="宋体" w:eastAsia="宋体" w:cs="Times New Roman"/>
          <w:bCs/>
          <w:color w:val="000000"/>
          <w:kern w:val="0"/>
          <w:sz w:val="24"/>
          <w:szCs w:val="21"/>
        </w:rPr>
      </w:pPr>
      <w:r>
        <w:rPr>
          <w:rFonts w:hint="eastAsia" w:ascii="宋体" w:hAnsi="宋体" w:eastAsia="宋体" w:cs="Times New Roman"/>
          <w:bCs/>
          <w:color w:val="000000"/>
          <w:kern w:val="0"/>
          <w:sz w:val="24"/>
          <w:szCs w:val="21"/>
        </w:rPr>
        <w:t>15.2投标人应根据招标文件要求提供培训计划、人员安排等。</w:t>
      </w:r>
    </w:p>
    <w:p w14:paraId="44CF84D0">
      <w:pPr>
        <w:keepNext w:val="0"/>
        <w:keepLines w:val="0"/>
        <w:spacing w:line="500" w:lineRule="exact"/>
        <w:ind w:firstLine="480"/>
        <w:outlineLvl w:val="9"/>
        <w:rPr>
          <w:rFonts w:hint="eastAsia" w:ascii="宋体" w:hAnsi="宋体" w:eastAsia="宋体" w:cs="Times New Roman"/>
          <w:bCs/>
          <w:color w:val="000000"/>
          <w:kern w:val="0"/>
          <w:sz w:val="24"/>
          <w:szCs w:val="21"/>
        </w:rPr>
      </w:pPr>
      <w:r>
        <w:rPr>
          <w:rFonts w:hint="eastAsia" w:ascii="宋体" w:hAnsi="宋体" w:eastAsia="宋体" w:cs="Times New Roman"/>
          <w:bCs/>
          <w:color w:val="000000"/>
          <w:kern w:val="0"/>
          <w:sz w:val="24"/>
          <w:szCs w:val="21"/>
        </w:rPr>
        <w:t>15.3投标人应根据招标文件要求提供所投标的的主要组成部分、功能设计、实现思路及关键技术等。</w:t>
      </w:r>
    </w:p>
    <w:p w14:paraId="655EA7B4">
      <w:pPr>
        <w:keepNext/>
        <w:keepLines/>
        <w:ind w:firstLine="420"/>
        <w:outlineLvl w:val="3"/>
        <w:rPr>
          <w:rFonts w:hint="eastAsia" w:ascii="Arial" w:hAnsi="Arial" w:eastAsia="黑体" w:cs="Arial"/>
          <w:color w:val="000000"/>
          <w:sz w:val="28"/>
          <w:szCs w:val="28"/>
          <w:highlight w:val="none"/>
        </w:rPr>
      </w:pPr>
      <w:r>
        <w:rPr>
          <w:rFonts w:hint="eastAsia" w:ascii="Arial" w:hAnsi="Arial" w:eastAsia="黑体" w:cs="Arial"/>
          <w:color w:val="000000"/>
          <w:sz w:val="28"/>
          <w:szCs w:val="28"/>
          <w:highlight w:val="none"/>
        </w:rPr>
        <w:t>16、投标函和开标一览表</w:t>
      </w:r>
    </w:p>
    <w:p w14:paraId="2A92708D">
      <w:pPr>
        <w:keepNext w:val="0"/>
        <w:keepLines w:val="0"/>
        <w:spacing w:line="500" w:lineRule="exact"/>
        <w:ind w:firstLine="480"/>
        <w:outlineLvl w:val="9"/>
        <w:rPr>
          <w:rFonts w:hint="eastAsia" w:ascii="宋体" w:hAnsi="宋体" w:eastAsia="宋体" w:cs="Times New Roman"/>
          <w:bCs/>
          <w:color w:val="000000"/>
          <w:kern w:val="0"/>
          <w:sz w:val="24"/>
          <w:szCs w:val="21"/>
        </w:rPr>
      </w:pPr>
      <w:r>
        <w:rPr>
          <w:rFonts w:hint="eastAsia" w:ascii="宋体" w:hAnsi="宋体" w:eastAsia="宋体" w:cs="Times New Roman"/>
          <w:bCs/>
          <w:color w:val="000000"/>
          <w:kern w:val="0"/>
          <w:sz w:val="24"/>
          <w:szCs w:val="21"/>
        </w:rPr>
        <w:t>16.1投标人应按照招标文件提供的格式完整、正确填写投标函、开标一览表。</w:t>
      </w:r>
    </w:p>
    <w:p w14:paraId="60B2BDCD">
      <w:pPr>
        <w:keepNext w:val="0"/>
        <w:keepLines w:val="0"/>
        <w:spacing w:line="500" w:lineRule="exact"/>
        <w:ind w:firstLine="480"/>
        <w:outlineLvl w:val="9"/>
        <w:rPr>
          <w:rFonts w:hint="eastAsia" w:ascii="宋体" w:hAnsi="宋体" w:eastAsia="宋体" w:cs="Times New Roman"/>
          <w:bCs/>
          <w:color w:val="000000"/>
          <w:kern w:val="0"/>
          <w:sz w:val="24"/>
          <w:szCs w:val="21"/>
        </w:rPr>
      </w:pPr>
      <w:r>
        <w:rPr>
          <w:rFonts w:hint="eastAsia" w:ascii="宋体" w:hAnsi="宋体" w:eastAsia="宋体" w:cs="Times New Roman"/>
          <w:bCs/>
          <w:color w:val="000000"/>
          <w:kern w:val="0"/>
          <w:sz w:val="24"/>
          <w:szCs w:val="21"/>
        </w:rPr>
        <w:t>16.2对于采用货币报价的项目，开标一览表中的投标总报价应与投标分项报价表中的投标总报价一致，如不一致，不作无效投标处理，但评标时以开标一览表中价格为准。</w:t>
      </w:r>
    </w:p>
    <w:p w14:paraId="700E02D8">
      <w:pPr>
        <w:keepNext/>
        <w:keepLines/>
        <w:ind w:firstLine="420"/>
        <w:outlineLvl w:val="3"/>
        <w:rPr>
          <w:rFonts w:hint="eastAsia" w:ascii="Arial" w:hAnsi="Arial" w:eastAsia="黑体" w:cs="Arial"/>
          <w:color w:val="000000"/>
          <w:sz w:val="28"/>
          <w:szCs w:val="28"/>
          <w:highlight w:val="none"/>
        </w:rPr>
      </w:pPr>
      <w:r>
        <w:rPr>
          <w:rFonts w:hint="eastAsia" w:ascii="Arial" w:hAnsi="Arial" w:eastAsia="黑体" w:cs="Arial"/>
          <w:color w:val="000000"/>
          <w:sz w:val="28"/>
          <w:szCs w:val="28"/>
          <w:highlight w:val="none"/>
        </w:rPr>
        <w:t>17、投标有效期</w:t>
      </w:r>
    </w:p>
    <w:p w14:paraId="661BFCA4">
      <w:pPr>
        <w:keepNext w:val="0"/>
        <w:keepLines w:val="0"/>
        <w:spacing w:line="500" w:lineRule="exact"/>
        <w:ind w:firstLine="480"/>
        <w:outlineLvl w:val="9"/>
        <w:rPr>
          <w:rFonts w:hint="eastAsia" w:ascii="宋体" w:hAnsi="宋体" w:eastAsia="宋体" w:cs="Times New Roman"/>
          <w:bCs/>
          <w:color w:val="000000"/>
          <w:kern w:val="0"/>
          <w:sz w:val="24"/>
          <w:szCs w:val="21"/>
        </w:rPr>
      </w:pPr>
      <w:r>
        <w:rPr>
          <w:rFonts w:hint="eastAsia" w:ascii="宋体" w:hAnsi="宋体" w:eastAsia="宋体" w:cs="Times New Roman"/>
          <w:bCs/>
          <w:color w:val="000000"/>
          <w:kern w:val="0"/>
          <w:sz w:val="24"/>
          <w:szCs w:val="21"/>
        </w:rPr>
        <w:t>17.1投标有效期为招标文件规定的开标之日后六十（60）天。投标有效期比规定短的将被视为未实质性响应招标文件而予以拒绝。</w:t>
      </w:r>
    </w:p>
    <w:p w14:paraId="3514CC58">
      <w:pPr>
        <w:keepNext w:val="0"/>
        <w:keepLines w:val="0"/>
        <w:spacing w:before="0" w:after="0" w:line="500" w:lineRule="exact"/>
        <w:ind w:firstLine="480"/>
        <w:outlineLvl w:val="9"/>
        <w:rPr>
          <w:rFonts w:hint="eastAsia" w:ascii="宋体" w:hAnsi="宋体" w:eastAsia="宋体" w:cs="Times New Roman"/>
          <w:b w:val="0"/>
          <w:bCs/>
          <w:color w:val="000000"/>
          <w:kern w:val="0"/>
          <w:sz w:val="24"/>
          <w:szCs w:val="21"/>
        </w:rPr>
      </w:pPr>
      <w:r>
        <w:rPr>
          <w:rFonts w:hint="eastAsia" w:ascii="宋体" w:hAnsi="宋体" w:eastAsia="宋体" w:cs="Times New Roman"/>
          <w:bCs/>
          <w:color w:val="000000"/>
          <w:kern w:val="0"/>
          <w:sz w:val="24"/>
          <w:szCs w:val="21"/>
        </w:rPr>
        <w:t>17.2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bookmarkEnd w:id="92"/>
      <w:bookmarkEnd w:id="93"/>
      <w:bookmarkEnd w:id="94"/>
      <w:bookmarkEnd w:id="95"/>
      <w:bookmarkStart w:id="96" w:name="_Hlt26954852"/>
      <w:bookmarkEnd w:id="96"/>
      <w:bookmarkStart w:id="97" w:name="_Hlt26954739"/>
      <w:bookmarkEnd w:id="97"/>
      <w:bookmarkStart w:id="98" w:name="_Toc20823296"/>
      <w:bookmarkStart w:id="99" w:name="_Toc120614217"/>
      <w:bookmarkStart w:id="100" w:name="_Toc16938540"/>
      <w:bookmarkStart w:id="101" w:name="_Toc513029224"/>
    </w:p>
    <w:p w14:paraId="50FB45D7">
      <w:pPr>
        <w:keepNext/>
        <w:keepLines/>
        <w:spacing w:before="145" w:after="145" w:line="360" w:lineRule="auto"/>
        <w:ind w:firstLine="482"/>
        <w:outlineLvl w:val="2"/>
        <w:rPr>
          <w:rFonts w:ascii="Times New Roman" w:hAnsi="Times New Roman" w:eastAsia="宋体" w:cs="Times New Roman"/>
          <w:b/>
          <w:bCs/>
          <w:color w:val="000000"/>
          <w:sz w:val="32"/>
          <w:szCs w:val="32"/>
          <w:highlight w:val="none"/>
        </w:rPr>
      </w:pPr>
      <w:r>
        <w:rPr>
          <w:rFonts w:hint="eastAsia" w:ascii="Times New Roman" w:hAnsi="Times New Roman" w:eastAsia="宋体" w:cs="Times New Roman"/>
          <w:b/>
          <w:bCs/>
          <w:color w:val="000000"/>
          <w:sz w:val="32"/>
          <w:szCs w:val="32"/>
          <w:highlight w:val="none"/>
        </w:rPr>
        <w:t>四、投标文件的递交</w:t>
      </w:r>
      <w:bookmarkEnd w:id="98"/>
      <w:bookmarkEnd w:id="99"/>
      <w:bookmarkEnd w:id="100"/>
      <w:bookmarkEnd w:id="101"/>
    </w:p>
    <w:p w14:paraId="63D27EE6">
      <w:pPr>
        <w:keepNext/>
        <w:keepLines/>
        <w:ind w:firstLine="560"/>
        <w:outlineLvl w:val="3"/>
        <w:rPr>
          <w:rFonts w:hint="eastAsia" w:ascii="Arial" w:hAnsi="Arial" w:eastAsia="黑体" w:cs="Arial"/>
          <w:color w:val="000000"/>
          <w:sz w:val="28"/>
          <w:szCs w:val="28"/>
          <w:highlight w:val="none"/>
        </w:rPr>
      </w:pPr>
      <w:bookmarkStart w:id="102" w:name="_Toc16938541"/>
      <w:bookmarkStart w:id="103" w:name="_Toc20823297"/>
      <w:bookmarkStart w:id="104" w:name="_Toc462564084"/>
      <w:bookmarkStart w:id="105" w:name="_Toc513029225"/>
      <w:r>
        <w:rPr>
          <w:rFonts w:hint="eastAsia" w:ascii="Arial" w:hAnsi="Arial" w:eastAsia="黑体" w:cs="Arial"/>
          <w:color w:val="000000"/>
          <w:sz w:val="28"/>
          <w:szCs w:val="28"/>
          <w:highlight w:val="none"/>
        </w:rPr>
        <w:t>18、电子投标文件的递交</w:t>
      </w:r>
    </w:p>
    <w:p w14:paraId="2F0BFB37">
      <w:pPr>
        <w:keepNext w:val="0"/>
        <w:keepLines w:val="0"/>
        <w:spacing w:line="500" w:lineRule="exact"/>
        <w:ind w:firstLine="480"/>
        <w:outlineLvl w:val="9"/>
        <w:rPr>
          <w:rFonts w:hint="eastAsia" w:ascii="宋体" w:hAnsi="宋体" w:eastAsia="宋体" w:cs="Times New Roman"/>
          <w:bCs/>
          <w:color w:val="000000"/>
          <w:kern w:val="0"/>
          <w:sz w:val="24"/>
          <w:szCs w:val="21"/>
        </w:rPr>
      </w:pPr>
      <w:r>
        <w:rPr>
          <w:rFonts w:hint="eastAsia" w:ascii="宋体" w:hAnsi="宋体" w:eastAsia="宋体" w:cs="Times New Roman"/>
          <w:bCs/>
          <w:color w:val="000000"/>
          <w:kern w:val="0"/>
          <w:sz w:val="24"/>
          <w:szCs w:val="21"/>
        </w:rPr>
        <w:t>18.1投标人应当按照《操作手册》规定，在投标截止时间前制作并上传电子投标文件。</w:t>
      </w:r>
    </w:p>
    <w:p w14:paraId="409F40C2">
      <w:pPr>
        <w:keepNext/>
        <w:keepLines/>
        <w:ind w:firstLine="560"/>
        <w:outlineLvl w:val="3"/>
        <w:rPr>
          <w:rFonts w:hint="eastAsia" w:ascii="Arial" w:hAnsi="Arial" w:eastAsia="黑体" w:cs="Arial"/>
          <w:color w:val="000000"/>
          <w:sz w:val="28"/>
          <w:szCs w:val="28"/>
          <w:highlight w:val="none"/>
        </w:rPr>
      </w:pPr>
      <w:r>
        <w:rPr>
          <w:rFonts w:hint="eastAsia" w:ascii="Arial" w:hAnsi="Arial" w:eastAsia="黑体" w:cs="Arial"/>
          <w:color w:val="000000"/>
          <w:sz w:val="28"/>
          <w:szCs w:val="28"/>
          <w:highlight w:val="none"/>
        </w:rPr>
        <w:t>19、投标截止日期</w:t>
      </w:r>
    </w:p>
    <w:p w14:paraId="3BEDAD1F">
      <w:pPr>
        <w:keepNext w:val="0"/>
        <w:keepLines w:val="0"/>
        <w:spacing w:line="500" w:lineRule="exact"/>
        <w:ind w:firstLine="480"/>
        <w:outlineLvl w:val="9"/>
        <w:rPr>
          <w:rFonts w:hint="eastAsia" w:ascii="宋体" w:hAnsi="宋体" w:eastAsia="宋体" w:cs="Times New Roman"/>
          <w:bCs/>
          <w:color w:val="000000"/>
          <w:kern w:val="0"/>
          <w:sz w:val="24"/>
          <w:szCs w:val="21"/>
        </w:rPr>
      </w:pPr>
      <w:r>
        <w:rPr>
          <w:rFonts w:hint="eastAsia" w:ascii="宋体" w:hAnsi="宋体" w:eastAsia="宋体" w:cs="Times New Roman"/>
          <w:bCs/>
          <w:color w:val="000000"/>
          <w:kern w:val="0"/>
          <w:sz w:val="24"/>
          <w:szCs w:val="21"/>
        </w:rPr>
        <w:t>19.1投标人上传电子投标文件的时间不得迟于招标公告中规定的投标截止时间。</w:t>
      </w:r>
    </w:p>
    <w:p w14:paraId="733C90CD">
      <w:pPr>
        <w:keepNext w:val="0"/>
        <w:keepLines w:val="0"/>
        <w:spacing w:line="500" w:lineRule="exact"/>
        <w:ind w:firstLine="480"/>
        <w:outlineLvl w:val="9"/>
        <w:rPr>
          <w:rFonts w:hint="eastAsia" w:ascii="宋体" w:hAnsi="宋体" w:eastAsia="宋体" w:cs="Times New Roman"/>
          <w:bCs/>
          <w:color w:val="000000"/>
          <w:kern w:val="0"/>
          <w:sz w:val="24"/>
          <w:szCs w:val="21"/>
        </w:rPr>
      </w:pPr>
      <w:r>
        <w:rPr>
          <w:rFonts w:hint="eastAsia" w:ascii="宋体" w:hAnsi="宋体" w:eastAsia="宋体" w:cs="Times New Roman"/>
          <w:bCs/>
          <w:color w:val="000000"/>
          <w:kern w:val="0"/>
          <w:sz w:val="24"/>
          <w:szCs w:val="21"/>
        </w:rPr>
        <w:t>投标人应充分考虑到网络环境、网络带宽等风险因素，如因投标人自身原因造成的电子投标文件上传不成功的按照本招标文件第二章第27.1.2条规定做无效投标处理。</w:t>
      </w:r>
    </w:p>
    <w:p w14:paraId="2C02D567">
      <w:pPr>
        <w:keepNext w:val="0"/>
        <w:keepLines w:val="0"/>
        <w:spacing w:line="500" w:lineRule="exact"/>
        <w:ind w:firstLine="480"/>
        <w:outlineLvl w:val="9"/>
        <w:rPr>
          <w:rFonts w:hint="eastAsia" w:ascii="宋体" w:hAnsi="宋体" w:eastAsia="宋体" w:cs="Times New Roman"/>
          <w:bCs/>
          <w:color w:val="000000"/>
          <w:kern w:val="0"/>
          <w:sz w:val="24"/>
          <w:szCs w:val="21"/>
        </w:rPr>
      </w:pPr>
      <w:r>
        <w:rPr>
          <w:rFonts w:hint="eastAsia" w:ascii="宋体" w:hAnsi="宋体" w:eastAsia="宋体" w:cs="Times New Roman"/>
          <w:bCs/>
          <w:color w:val="000000"/>
          <w:kern w:val="0"/>
          <w:sz w:val="24"/>
          <w:szCs w:val="21"/>
        </w:rPr>
        <w:t>19.2采购中心可以按照规定，通过修改招标文件酌情延长投标截止日期，在此情况下，投标人的所有权利和义务以及投标人受制的截止日期均应以延长后新的截止日期为准。</w:t>
      </w:r>
    </w:p>
    <w:p w14:paraId="7FB271D2">
      <w:pPr>
        <w:keepNext/>
        <w:keepLines/>
        <w:ind w:firstLine="560"/>
        <w:outlineLvl w:val="3"/>
        <w:rPr>
          <w:rFonts w:hint="eastAsia" w:ascii="Arial" w:hAnsi="Arial" w:eastAsia="黑体" w:cs="Arial"/>
          <w:color w:val="000000"/>
          <w:sz w:val="28"/>
          <w:szCs w:val="28"/>
          <w:highlight w:val="none"/>
        </w:rPr>
      </w:pPr>
      <w:r>
        <w:rPr>
          <w:rFonts w:hint="eastAsia" w:ascii="Arial" w:hAnsi="Arial" w:eastAsia="黑体" w:cs="Arial"/>
          <w:color w:val="000000"/>
          <w:sz w:val="28"/>
          <w:szCs w:val="28"/>
          <w:highlight w:val="none"/>
        </w:rPr>
        <w:t>20、投标文件的拒收</w:t>
      </w:r>
    </w:p>
    <w:p w14:paraId="15056D16">
      <w:pPr>
        <w:keepNext w:val="0"/>
        <w:keepLines w:val="0"/>
        <w:spacing w:line="500" w:lineRule="exact"/>
        <w:ind w:firstLine="480"/>
        <w:outlineLvl w:val="9"/>
        <w:rPr>
          <w:rFonts w:hint="eastAsia" w:ascii="宋体" w:hAnsi="宋体" w:eastAsia="宋体" w:cs="Times New Roman"/>
          <w:bCs/>
          <w:color w:val="000000"/>
          <w:kern w:val="0"/>
          <w:sz w:val="24"/>
          <w:szCs w:val="21"/>
        </w:rPr>
      </w:pPr>
      <w:r>
        <w:rPr>
          <w:rFonts w:hint="eastAsia" w:ascii="宋体" w:hAnsi="宋体" w:eastAsia="宋体" w:cs="Times New Roman"/>
          <w:bCs/>
          <w:color w:val="000000"/>
          <w:kern w:val="0"/>
          <w:sz w:val="24"/>
          <w:szCs w:val="21"/>
        </w:rPr>
        <w:t>20.1采购中心拒绝接收在其规定的投标截止时间后上传的任何投标文件。</w:t>
      </w:r>
    </w:p>
    <w:p w14:paraId="47300813">
      <w:pPr>
        <w:keepNext/>
        <w:keepLines/>
        <w:ind w:firstLine="560"/>
        <w:outlineLvl w:val="3"/>
        <w:rPr>
          <w:rFonts w:hint="eastAsia" w:ascii="Arial" w:hAnsi="Arial" w:eastAsia="黑体" w:cs="Arial"/>
          <w:color w:val="000000"/>
          <w:sz w:val="28"/>
          <w:szCs w:val="28"/>
          <w:highlight w:val="none"/>
        </w:rPr>
      </w:pPr>
      <w:r>
        <w:rPr>
          <w:rFonts w:hint="eastAsia" w:ascii="Arial" w:hAnsi="Arial" w:eastAsia="黑体" w:cs="Arial"/>
          <w:color w:val="000000"/>
          <w:sz w:val="28"/>
          <w:szCs w:val="28"/>
          <w:highlight w:val="none"/>
        </w:rPr>
        <w:t>21、投标文件的撤回和修改</w:t>
      </w:r>
    </w:p>
    <w:p w14:paraId="33CA8C0D">
      <w:pPr>
        <w:keepNext w:val="0"/>
        <w:keepLines w:val="0"/>
        <w:spacing w:line="500" w:lineRule="exact"/>
        <w:ind w:firstLine="480"/>
        <w:outlineLvl w:val="9"/>
        <w:rPr>
          <w:rFonts w:hint="eastAsia" w:ascii="宋体" w:hAnsi="宋体" w:eastAsia="宋体" w:cs="Times New Roman"/>
          <w:bCs/>
          <w:color w:val="000000"/>
          <w:kern w:val="0"/>
          <w:sz w:val="24"/>
          <w:szCs w:val="21"/>
        </w:rPr>
      </w:pPr>
      <w:r>
        <w:rPr>
          <w:rFonts w:hint="eastAsia" w:ascii="宋体" w:hAnsi="宋体" w:eastAsia="宋体" w:cs="Times New Roman"/>
          <w:bCs/>
          <w:color w:val="000000"/>
          <w:kern w:val="0"/>
          <w:sz w:val="24"/>
          <w:szCs w:val="21"/>
        </w:rPr>
        <w:t>21.1投标文件的撤回</w:t>
      </w:r>
    </w:p>
    <w:p w14:paraId="78497699">
      <w:pPr>
        <w:keepNext w:val="0"/>
        <w:keepLines w:val="0"/>
        <w:spacing w:line="500" w:lineRule="exact"/>
        <w:ind w:firstLine="480"/>
        <w:outlineLvl w:val="9"/>
        <w:rPr>
          <w:rFonts w:hint="eastAsia" w:ascii="宋体" w:hAnsi="宋体" w:eastAsia="宋体" w:cs="Times New Roman"/>
          <w:bCs/>
          <w:color w:val="000000"/>
          <w:kern w:val="0"/>
          <w:sz w:val="24"/>
          <w:szCs w:val="21"/>
        </w:rPr>
      </w:pPr>
      <w:r>
        <w:rPr>
          <w:rFonts w:hint="eastAsia" w:ascii="宋体" w:hAnsi="宋体" w:eastAsia="宋体" w:cs="Times New Roman"/>
          <w:bCs/>
          <w:color w:val="000000"/>
          <w:kern w:val="0"/>
          <w:sz w:val="24"/>
          <w:szCs w:val="21"/>
        </w:rPr>
        <w:t>21.1.1电子投标文件的撤回</w:t>
      </w:r>
    </w:p>
    <w:p w14:paraId="4D4036DE">
      <w:pPr>
        <w:keepNext w:val="0"/>
        <w:keepLines w:val="0"/>
        <w:spacing w:line="500" w:lineRule="exact"/>
        <w:ind w:firstLine="480"/>
        <w:outlineLvl w:val="9"/>
        <w:rPr>
          <w:rFonts w:hint="eastAsia" w:ascii="宋体" w:hAnsi="宋体" w:eastAsia="宋体" w:cs="Times New Roman"/>
          <w:bCs/>
          <w:color w:val="000000"/>
          <w:kern w:val="0"/>
          <w:sz w:val="24"/>
          <w:szCs w:val="21"/>
        </w:rPr>
      </w:pPr>
      <w:r>
        <w:rPr>
          <w:rFonts w:hint="eastAsia" w:ascii="宋体" w:hAnsi="宋体" w:eastAsia="宋体" w:cs="Times New Roman"/>
          <w:bCs/>
          <w:color w:val="000000"/>
          <w:kern w:val="0"/>
          <w:sz w:val="24"/>
          <w:szCs w:val="21"/>
        </w:rPr>
        <w:t>投标人可在投标截止时间前，撤回其电子投标文件，具体操作方法见《操作手册》。</w:t>
      </w:r>
    </w:p>
    <w:p w14:paraId="227254C0">
      <w:pPr>
        <w:keepNext w:val="0"/>
        <w:keepLines w:val="0"/>
        <w:spacing w:line="500" w:lineRule="exact"/>
        <w:ind w:firstLine="480"/>
        <w:outlineLvl w:val="9"/>
        <w:rPr>
          <w:rFonts w:hint="eastAsia" w:ascii="宋体" w:hAnsi="宋体" w:eastAsia="宋体" w:cs="Times New Roman"/>
          <w:bCs/>
          <w:color w:val="000000"/>
          <w:kern w:val="0"/>
          <w:sz w:val="24"/>
          <w:szCs w:val="21"/>
        </w:rPr>
      </w:pPr>
      <w:r>
        <w:rPr>
          <w:rFonts w:hint="eastAsia" w:ascii="宋体" w:hAnsi="宋体" w:eastAsia="宋体" w:cs="Times New Roman"/>
          <w:bCs/>
          <w:color w:val="000000"/>
          <w:kern w:val="0"/>
          <w:sz w:val="24"/>
          <w:szCs w:val="21"/>
        </w:rPr>
        <w:t>21.1.2投标人撤回电子投标文件，则认为其不再参与本项目投标活动。</w:t>
      </w:r>
    </w:p>
    <w:p w14:paraId="0D4791C2">
      <w:pPr>
        <w:keepNext w:val="0"/>
        <w:keepLines w:val="0"/>
        <w:spacing w:line="500" w:lineRule="exact"/>
        <w:ind w:firstLine="480"/>
        <w:outlineLvl w:val="9"/>
        <w:rPr>
          <w:rFonts w:hint="eastAsia" w:ascii="宋体" w:hAnsi="宋体" w:eastAsia="宋体" w:cs="Times New Roman"/>
          <w:bCs/>
          <w:color w:val="000000"/>
          <w:kern w:val="0"/>
          <w:sz w:val="24"/>
          <w:szCs w:val="21"/>
        </w:rPr>
      </w:pPr>
      <w:r>
        <w:rPr>
          <w:rFonts w:hint="eastAsia" w:ascii="宋体" w:hAnsi="宋体" w:eastAsia="宋体" w:cs="Times New Roman"/>
          <w:bCs/>
          <w:color w:val="000000"/>
          <w:kern w:val="0"/>
          <w:sz w:val="24"/>
          <w:szCs w:val="21"/>
        </w:rPr>
        <w:t>21.2投标文件的修改</w:t>
      </w:r>
    </w:p>
    <w:p w14:paraId="5E40A59E">
      <w:pPr>
        <w:keepNext w:val="0"/>
        <w:keepLines w:val="0"/>
        <w:spacing w:line="500" w:lineRule="exact"/>
        <w:ind w:firstLine="480"/>
        <w:outlineLvl w:val="9"/>
        <w:rPr>
          <w:rFonts w:hint="eastAsia" w:ascii="宋体" w:hAnsi="宋体" w:eastAsia="宋体" w:cs="Times New Roman"/>
          <w:bCs/>
          <w:color w:val="000000"/>
          <w:kern w:val="0"/>
          <w:sz w:val="24"/>
          <w:szCs w:val="21"/>
        </w:rPr>
      </w:pPr>
      <w:r>
        <w:rPr>
          <w:rFonts w:hint="eastAsia" w:ascii="宋体" w:hAnsi="宋体" w:eastAsia="宋体" w:cs="Times New Roman"/>
          <w:bCs/>
          <w:color w:val="000000"/>
          <w:kern w:val="0"/>
          <w:sz w:val="24"/>
          <w:szCs w:val="21"/>
        </w:rPr>
        <w:t>21.2.1投标人可在投标截止时间前，对其电子投标文件进行修改，具体操作方法见《操作手册》。</w:t>
      </w:r>
    </w:p>
    <w:p w14:paraId="4BFA1607">
      <w:pPr>
        <w:keepNext w:val="0"/>
        <w:keepLines w:val="0"/>
        <w:spacing w:line="500" w:lineRule="exact"/>
        <w:ind w:firstLine="480"/>
        <w:outlineLvl w:val="9"/>
        <w:rPr>
          <w:rFonts w:hint="eastAsia" w:ascii="宋体" w:hAnsi="宋体" w:eastAsia="宋体" w:cs="Times New Roman"/>
          <w:bCs/>
          <w:color w:val="000000"/>
          <w:kern w:val="0"/>
          <w:sz w:val="24"/>
          <w:szCs w:val="21"/>
        </w:rPr>
      </w:pPr>
      <w:r>
        <w:rPr>
          <w:rFonts w:hint="eastAsia" w:ascii="宋体" w:hAnsi="宋体" w:eastAsia="宋体" w:cs="Times New Roman"/>
          <w:bCs/>
          <w:color w:val="000000"/>
          <w:kern w:val="0"/>
          <w:sz w:val="24"/>
          <w:szCs w:val="21"/>
        </w:rPr>
        <w:t>21.2.2在投标截止时间之后，投标人不得对其电子投标文件作任何修改。</w:t>
      </w:r>
    </w:p>
    <w:p w14:paraId="6CBA6187">
      <w:pPr>
        <w:keepNext w:val="0"/>
        <w:keepLines w:val="0"/>
        <w:spacing w:before="0" w:after="0" w:line="500" w:lineRule="exact"/>
        <w:ind w:firstLine="480"/>
        <w:outlineLvl w:val="9"/>
        <w:rPr>
          <w:rFonts w:hint="eastAsia" w:ascii="宋体" w:hAnsi="宋体" w:eastAsia="宋体" w:cs="Times New Roman"/>
          <w:b w:val="0"/>
          <w:bCs/>
          <w:color w:val="000000"/>
          <w:kern w:val="0"/>
          <w:sz w:val="24"/>
          <w:szCs w:val="21"/>
        </w:rPr>
      </w:pPr>
      <w:r>
        <w:rPr>
          <w:rFonts w:hint="eastAsia" w:ascii="宋体" w:hAnsi="宋体" w:eastAsia="宋体" w:cs="Times New Roman"/>
          <w:bCs/>
          <w:color w:val="000000"/>
          <w:kern w:val="0"/>
          <w:sz w:val="24"/>
          <w:szCs w:val="21"/>
        </w:rPr>
        <w:t>21.3在投标截止时间至招标文件中规定的投标有效期满之间的这段时间内，投标人不得撤回其投标。</w:t>
      </w:r>
      <w:bookmarkEnd w:id="102"/>
      <w:bookmarkEnd w:id="103"/>
      <w:bookmarkEnd w:id="104"/>
      <w:bookmarkEnd w:id="105"/>
      <w:bookmarkStart w:id="106" w:name="_Toc120614218"/>
      <w:bookmarkStart w:id="107" w:name="_Toc16938545"/>
      <w:bookmarkStart w:id="108" w:name="_Toc513029229"/>
      <w:bookmarkStart w:id="109" w:name="_Toc20823301"/>
    </w:p>
    <w:p w14:paraId="7B6F6A4D">
      <w:pPr>
        <w:keepNext/>
        <w:keepLines/>
        <w:spacing w:before="145" w:after="145" w:line="360" w:lineRule="auto"/>
        <w:ind w:firstLine="482"/>
        <w:outlineLvl w:val="2"/>
        <w:rPr>
          <w:rFonts w:ascii="Times New Roman" w:hAnsi="Times New Roman" w:eastAsia="宋体" w:cs="Times New Roman"/>
          <w:b/>
          <w:bCs/>
          <w:color w:val="000000"/>
          <w:sz w:val="32"/>
          <w:szCs w:val="32"/>
          <w:highlight w:val="none"/>
        </w:rPr>
      </w:pPr>
      <w:r>
        <w:rPr>
          <w:rFonts w:hint="eastAsia" w:ascii="Times New Roman" w:hAnsi="Times New Roman" w:eastAsia="宋体" w:cs="Times New Roman"/>
          <w:b/>
          <w:bCs/>
          <w:color w:val="000000"/>
          <w:sz w:val="32"/>
          <w:szCs w:val="32"/>
          <w:highlight w:val="none"/>
        </w:rPr>
        <w:t>五、开标与评标</w:t>
      </w:r>
      <w:bookmarkEnd w:id="106"/>
      <w:bookmarkEnd w:id="107"/>
      <w:bookmarkEnd w:id="108"/>
      <w:bookmarkEnd w:id="109"/>
    </w:p>
    <w:p w14:paraId="4B019C0C">
      <w:pPr>
        <w:keepNext/>
        <w:keepLines/>
        <w:ind w:firstLine="420"/>
        <w:outlineLvl w:val="3"/>
        <w:rPr>
          <w:rFonts w:hint="eastAsia" w:ascii="Arial" w:hAnsi="Arial" w:eastAsia="黑体" w:cs="Arial"/>
          <w:color w:val="000000"/>
          <w:sz w:val="28"/>
          <w:szCs w:val="28"/>
          <w:highlight w:val="none"/>
        </w:rPr>
      </w:pPr>
      <w:bookmarkStart w:id="110" w:name="_Toc20823302"/>
      <w:bookmarkStart w:id="111" w:name="_Toc513029230"/>
      <w:bookmarkStart w:id="112" w:name="_Toc16938546"/>
      <w:r>
        <w:rPr>
          <w:rFonts w:hint="eastAsia" w:ascii="Arial" w:hAnsi="Arial" w:eastAsia="黑体" w:cs="Arial"/>
          <w:color w:val="000000"/>
          <w:sz w:val="28"/>
          <w:szCs w:val="28"/>
          <w:highlight w:val="none"/>
        </w:rPr>
        <w:t>22、开标</w:t>
      </w:r>
    </w:p>
    <w:p w14:paraId="199B5DB0">
      <w:pPr>
        <w:keepNext w:val="0"/>
        <w:keepLines w:val="0"/>
        <w:spacing w:line="500" w:lineRule="exact"/>
        <w:ind w:firstLine="480"/>
        <w:outlineLvl w:val="9"/>
        <w:rPr>
          <w:rFonts w:hint="eastAsia" w:ascii="宋体" w:hAnsi="宋体" w:eastAsia="宋体" w:cs="Times New Roman"/>
          <w:bCs/>
          <w:color w:val="000000"/>
          <w:kern w:val="0"/>
          <w:sz w:val="24"/>
          <w:szCs w:val="21"/>
        </w:rPr>
      </w:pPr>
      <w:r>
        <w:rPr>
          <w:rFonts w:hint="eastAsia" w:ascii="宋体" w:hAnsi="宋体" w:eastAsia="宋体" w:cs="Times New Roman"/>
          <w:bCs/>
          <w:color w:val="000000"/>
          <w:kern w:val="0"/>
          <w:sz w:val="24"/>
          <w:szCs w:val="21"/>
        </w:rPr>
        <w:t>22.1采购中心将在招标公告中规定的时间和地点组织公开开标。投标人应当按照《操作手册》规定，参加开标活动和在苏采云系统规定的时间内对投标文件进行解密。</w:t>
      </w:r>
    </w:p>
    <w:p w14:paraId="4A433A50">
      <w:pPr>
        <w:keepNext w:val="0"/>
        <w:keepLines w:val="0"/>
        <w:spacing w:line="500" w:lineRule="exact"/>
        <w:ind w:firstLine="480"/>
        <w:outlineLvl w:val="9"/>
        <w:rPr>
          <w:rFonts w:hint="eastAsia" w:ascii="宋体" w:hAnsi="宋体" w:eastAsia="宋体" w:cs="Times New Roman"/>
          <w:bCs/>
          <w:color w:val="000000"/>
          <w:kern w:val="0"/>
          <w:sz w:val="24"/>
          <w:szCs w:val="21"/>
        </w:rPr>
      </w:pPr>
      <w:r>
        <w:rPr>
          <w:rFonts w:hint="eastAsia" w:ascii="宋体" w:hAnsi="宋体" w:eastAsia="宋体" w:cs="Times New Roman"/>
          <w:bCs/>
          <w:color w:val="000000"/>
          <w:kern w:val="0"/>
          <w:sz w:val="24"/>
          <w:szCs w:val="21"/>
        </w:rPr>
        <w:t>22.2开标仪式由采购中心组织。苏采云系统将自动对项目进行开标，并宣布各投标人名称和投标价格。</w:t>
      </w:r>
    </w:p>
    <w:p w14:paraId="23746683">
      <w:pPr>
        <w:keepNext w:val="0"/>
        <w:keepLines w:val="0"/>
        <w:spacing w:line="500" w:lineRule="exact"/>
        <w:ind w:firstLine="480"/>
        <w:outlineLvl w:val="9"/>
        <w:rPr>
          <w:rFonts w:hint="eastAsia" w:ascii="宋体" w:hAnsi="宋体" w:eastAsia="宋体" w:cs="Times New Roman"/>
          <w:bCs/>
          <w:color w:val="000000"/>
          <w:kern w:val="0"/>
          <w:sz w:val="24"/>
          <w:szCs w:val="21"/>
        </w:rPr>
      </w:pPr>
      <w:r>
        <w:rPr>
          <w:rFonts w:hint="eastAsia" w:ascii="宋体" w:hAnsi="宋体" w:eastAsia="宋体" w:cs="Times New Roman"/>
          <w:bCs/>
          <w:color w:val="000000"/>
          <w:kern w:val="0"/>
          <w:sz w:val="24"/>
          <w:szCs w:val="21"/>
        </w:rPr>
        <w:t>22.3投标人在开标过程中涉及到的投标文件解密、开标结果确认等工作，应按照《操作手册》规定执行。</w:t>
      </w:r>
    </w:p>
    <w:p w14:paraId="7EF9B90E">
      <w:pPr>
        <w:keepNext w:val="0"/>
        <w:keepLines w:val="0"/>
        <w:spacing w:line="500" w:lineRule="exact"/>
        <w:ind w:firstLine="480"/>
        <w:outlineLvl w:val="9"/>
        <w:rPr>
          <w:rFonts w:hint="eastAsia" w:ascii="宋体" w:hAnsi="宋体" w:eastAsia="宋体" w:cs="Times New Roman"/>
          <w:bCs/>
          <w:color w:val="000000"/>
          <w:kern w:val="0"/>
          <w:sz w:val="24"/>
          <w:szCs w:val="21"/>
        </w:rPr>
      </w:pPr>
      <w:r>
        <w:rPr>
          <w:rFonts w:hint="eastAsia" w:ascii="宋体" w:hAnsi="宋体" w:eastAsia="宋体" w:cs="Times New Roman"/>
          <w:bCs/>
          <w:color w:val="000000"/>
          <w:kern w:val="0"/>
          <w:sz w:val="24"/>
          <w:szCs w:val="21"/>
        </w:rPr>
        <w:t>22.4投标人如果对开标过程和开标记录有疑义，应当根据《操作手册》规定提出，如苏采云系统中《开标记录表》宣布后5分钟内未提出的，视同认可开标结果。</w:t>
      </w:r>
    </w:p>
    <w:p w14:paraId="34D7E342">
      <w:pPr>
        <w:keepNext/>
        <w:keepLines/>
        <w:ind w:firstLine="420"/>
        <w:outlineLvl w:val="3"/>
        <w:rPr>
          <w:rFonts w:hint="eastAsia" w:ascii="Arial" w:hAnsi="Arial" w:eastAsia="黑体" w:cs="Arial"/>
          <w:color w:val="000000"/>
          <w:sz w:val="28"/>
          <w:szCs w:val="28"/>
          <w:highlight w:val="none"/>
        </w:rPr>
      </w:pPr>
      <w:r>
        <w:rPr>
          <w:rFonts w:hint="eastAsia" w:ascii="Arial" w:hAnsi="Arial" w:eastAsia="黑体" w:cs="Arial"/>
          <w:color w:val="000000"/>
          <w:sz w:val="28"/>
          <w:szCs w:val="28"/>
          <w:highlight w:val="none"/>
        </w:rPr>
        <w:t>23、评标委员会</w:t>
      </w:r>
    </w:p>
    <w:p w14:paraId="32B20599">
      <w:pPr>
        <w:keepNext w:val="0"/>
        <w:keepLines w:val="0"/>
        <w:spacing w:line="500" w:lineRule="exact"/>
        <w:ind w:firstLine="480"/>
        <w:outlineLvl w:val="9"/>
        <w:rPr>
          <w:rFonts w:hint="eastAsia" w:ascii="宋体" w:hAnsi="宋体" w:eastAsia="宋体" w:cs="Times New Roman"/>
          <w:bCs/>
          <w:color w:val="000000"/>
          <w:kern w:val="0"/>
          <w:sz w:val="24"/>
          <w:szCs w:val="21"/>
        </w:rPr>
      </w:pPr>
      <w:r>
        <w:rPr>
          <w:rFonts w:hint="eastAsia" w:ascii="宋体" w:hAnsi="宋体" w:eastAsia="宋体" w:cs="Times New Roman"/>
          <w:bCs/>
          <w:color w:val="000000"/>
          <w:kern w:val="0"/>
          <w:sz w:val="24"/>
          <w:szCs w:val="21"/>
        </w:rPr>
        <w:t>23.1开标后，采购中心将立即组织评标委员会（以下简称评委会）进行评标。</w:t>
      </w:r>
    </w:p>
    <w:p w14:paraId="658F25C0">
      <w:pPr>
        <w:keepNext w:val="0"/>
        <w:keepLines w:val="0"/>
        <w:spacing w:line="500" w:lineRule="exact"/>
        <w:ind w:firstLine="480"/>
        <w:outlineLvl w:val="9"/>
        <w:rPr>
          <w:rFonts w:hint="eastAsia" w:ascii="宋体" w:hAnsi="宋体" w:eastAsia="宋体" w:cs="Times New Roman"/>
          <w:bCs/>
          <w:color w:val="000000"/>
          <w:kern w:val="0"/>
          <w:sz w:val="24"/>
          <w:szCs w:val="21"/>
        </w:rPr>
      </w:pPr>
      <w:r>
        <w:rPr>
          <w:rFonts w:hint="eastAsia" w:ascii="宋体" w:hAnsi="宋体" w:eastAsia="宋体" w:cs="Times New Roman"/>
          <w:bCs/>
          <w:color w:val="000000"/>
          <w:kern w:val="0"/>
          <w:sz w:val="24"/>
          <w:szCs w:val="21"/>
        </w:rPr>
        <w:t>23.2评委会由采购人代表和有关技术、经济等方面的专家组成，且人员构成符合政府采购有关规定。</w:t>
      </w:r>
    </w:p>
    <w:p w14:paraId="64E52CFC">
      <w:pPr>
        <w:keepNext w:val="0"/>
        <w:keepLines w:val="0"/>
        <w:spacing w:line="500" w:lineRule="exact"/>
        <w:ind w:firstLine="480"/>
        <w:outlineLvl w:val="9"/>
        <w:rPr>
          <w:rFonts w:hint="eastAsia" w:ascii="宋体" w:hAnsi="宋体" w:eastAsia="宋体" w:cs="Times New Roman"/>
          <w:bCs/>
          <w:color w:val="000000"/>
          <w:kern w:val="0"/>
          <w:sz w:val="24"/>
          <w:szCs w:val="21"/>
        </w:rPr>
      </w:pPr>
      <w:r>
        <w:rPr>
          <w:rFonts w:hint="eastAsia" w:ascii="宋体" w:hAnsi="宋体" w:eastAsia="宋体" w:cs="Times New Roman"/>
          <w:bCs/>
          <w:color w:val="000000"/>
          <w:kern w:val="0"/>
          <w:sz w:val="24"/>
          <w:szCs w:val="21"/>
        </w:rPr>
        <w:t>23.3评委会独立工作，负责评审所有投标文件并确定中标侯选人。</w:t>
      </w:r>
    </w:p>
    <w:p w14:paraId="4D67CE68">
      <w:pPr>
        <w:keepNext/>
        <w:keepLines/>
        <w:ind w:firstLine="420"/>
        <w:outlineLvl w:val="3"/>
        <w:rPr>
          <w:rFonts w:hint="eastAsia" w:ascii="Arial" w:hAnsi="Arial" w:eastAsia="黑体" w:cs="Arial"/>
          <w:color w:val="000000"/>
          <w:sz w:val="28"/>
          <w:szCs w:val="28"/>
          <w:highlight w:val="none"/>
        </w:rPr>
      </w:pPr>
      <w:r>
        <w:rPr>
          <w:rFonts w:hint="eastAsia" w:ascii="Arial" w:hAnsi="Arial" w:eastAsia="黑体" w:cs="Arial"/>
          <w:color w:val="000000"/>
          <w:sz w:val="28"/>
          <w:szCs w:val="28"/>
          <w:highlight w:val="none"/>
        </w:rPr>
        <w:t>24．评标过程的保密与公正</w:t>
      </w:r>
    </w:p>
    <w:p w14:paraId="5A9FA2EE">
      <w:pPr>
        <w:keepNext w:val="0"/>
        <w:keepLines w:val="0"/>
        <w:spacing w:line="500" w:lineRule="exact"/>
        <w:ind w:firstLine="480"/>
        <w:outlineLvl w:val="9"/>
        <w:rPr>
          <w:rFonts w:hint="eastAsia" w:ascii="宋体" w:hAnsi="宋体" w:eastAsia="宋体" w:cs="Times New Roman"/>
          <w:bCs/>
          <w:color w:val="000000"/>
          <w:kern w:val="0"/>
          <w:sz w:val="24"/>
          <w:szCs w:val="21"/>
        </w:rPr>
      </w:pPr>
      <w:r>
        <w:rPr>
          <w:rFonts w:hint="eastAsia" w:ascii="宋体" w:hAnsi="宋体" w:eastAsia="宋体" w:cs="Times New Roman"/>
          <w:bCs/>
          <w:color w:val="000000"/>
          <w:kern w:val="0"/>
          <w:sz w:val="24"/>
          <w:szCs w:val="21"/>
        </w:rPr>
        <w:t>24.1凡是与审查、澄清、评价和比较投标的有关资料以及授标建议等，采购人、评委、采购中心均不得向投标人或与评标无关的其他人员透露。</w:t>
      </w:r>
    </w:p>
    <w:p w14:paraId="00E8D998">
      <w:pPr>
        <w:keepNext w:val="0"/>
        <w:keepLines w:val="0"/>
        <w:spacing w:line="500" w:lineRule="exact"/>
        <w:ind w:firstLine="480"/>
        <w:outlineLvl w:val="9"/>
        <w:rPr>
          <w:rFonts w:hint="eastAsia" w:ascii="宋体" w:hAnsi="宋体" w:eastAsia="宋体" w:cs="Times New Roman"/>
          <w:bCs/>
          <w:color w:val="000000"/>
          <w:kern w:val="0"/>
          <w:sz w:val="24"/>
          <w:szCs w:val="21"/>
        </w:rPr>
      </w:pPr>
      <w:r>
        <w:rPr>
          <w:rFonts w:hint="eastAsia" w:ascii="宋体" w:hAnsi="宋体" w:eastAsia="宋体" w:cs="Times New Roman"/>
          <w:bCs/>
          <w:color w:val="000000"/>
          <w:kern w:val="0"/>
          <w:sz w:val="24"/>
          <w:szCs w:val="21"/>
        </w:rPr>
        <w:t>24.2在评标过程中，投标人不得以任何行为影响评标过程，否则其投标文件将被作为无效投标文件。</w:t>
      </w:r>
    </w:p>
    <w:p w14:paraId="503AA251">
      <w:pPr>
        <w:keepNext w:val="0"/>
        <w:keepLines w:val="0"/>
        <w:spacing w:line="500" w:lineRule="exact"/>
        <w:ind w:firstLine="480"/>
        <w:outlineLvl w:val="9"/>
        <w:rPr>
          <w:rFonts w:hint="eastAsia" w:ascii="宋体" w:hAnsi="宋体" w:eastAsia="宋体" w:cs="Times New Roman"/>
          <w:bCs/>
          <w:color w:val="000000"/>
          <w:kern w:val="0"/>
          <w:sz w:val="24"/>
          <w:szCs w:val="21"/>
        </w:rPr>
      </w:pPr>
      <w:r>
        <w:rPr>
          <w:rFonts w:hint="eastAsia" w:ascii="宋体" w:hAnsi="宋体" w:eastAsia="宋体" w:cs="Times New Roman"/>
          <w:bCs/>
          <w:color w:val="000000"/>
          <w:kern w:val="0"/>
          <w:sz w:val="24"/>
          <w:szCs w:val="21"/>
        </w:rPr>
        <w:t>24.3采购中心和评标委员会不向未中标的投标人解释未中标原因，也不公布评标过程中的相关细节。</w:t>
      </w:r>
    </w:p>
    <w:p w14:paraId="6CEDC1FA">
      <w:pPr>
        <w:keepNext w:val="0"/>
        <w:keepLines w:val="0"/>
        <w:spacing w:line="500" w:lineRule="exact"/>
        <w:ind w:firstLine="480"/>
        <w:outlineLvl w:val="9"/>
        <w:rPr>
          <w:rFonts w:hint="eastAsia" w:ascii="宋体" w:hAnsi="宋体" w:eastAsia="宋体" w:cs="Times New Roman"/>
          <w:bCs/>
          <w:color w:val="000000"/>
          <w:kern w:val="0"/>
          <w:sz w:val="24"/>
          <w:szCs w:val="21"/>
        </w:rPr>
      </w:pPr>
      <w:r>
        <w:rPr>
          <w:rFonts w:hint="eastAsia" w:ascii="宋体" w:hAnsi="宋体" w:eastAsia="宋体" w:cs="Times New Roman"/>
          <w:bCs/>
          <w:color w:val="000000"/>
          <w:kern w:val="0"/>
          <w:sz w:val="24"/>
          <w:szCs w:val="21"/>
        </w:rPr>
        <w:t>24.4采用综合评分法的项目，未中标的投标人可于中标结果公告期限届满之日起通过苏采云系统查看自己的评审得分及排序情况。</w:t>
      </w:r>
    </w:p>
    <w:p w14:paraId="50530216">
      <w:pPr>
        <w:keepNext/>
        <w:keepLines/>
        <w:ind w:firstLine="420"/>
        <w:outlineLvl w:val="3"/>
        <w:rPr>
          <w:rFonts w:hint="eastAsia" w:ascii="Arial" w:hAnsi="Arial" w:eastAsia="黑体" w:cs="Arial"/>
          <w:color w:val="000000"/>
          <w:sz w:val="28"/>
          <w:szCs w:val="28"/>
          <w:highlight w:val="none"/>
        </w:rPr>
      </w:pPr>
      <w:r>
        <w:rPr>
          <w:rFonts w:hint="eastAsia" w:ascii="Arial" w:hAnsi="Arial" w:eastAsia="黑体" w:cs="Arial"/>
          <w:color w:val="000000"/>
          <w:sz w:val="28"/>
          <w:szCs w:val="28"/>
          <w:highlight w:val="none"/>
        </w:rPr>
        <w:t>25．投标文件的澄清</w:t>
      </w:r>
    </w:p>
    <w:p w14:paraId="5D2A4AB8">
      <w:pPr>
        <w:keepNext w:val="0"/>
        <w:keepLines w:val="0"/>
        <w:spacing w:line="500" w:lineRule="exact"/>
        <w:ind w:firstLine="480"/>
        <w:outlineLvl w:val="9"/>
        <w:rPr>
          <w:rFonts w:hint="eastAsia" w:ascii="宋体" w:hAnsi="宋体" w:eastAsia="宋体" w:cs="Times New Roman"/>
          <w:bCs/>
          <w:color w:val="000000"/>
          <w:kern w:val="0"/>
          <w:sz w:val="24"/>
          <w:szCs w:val="21"/>
        </w:rPr>
      </w:pPr>
      <w:r>
        <w:rPr>
          <w:rFonts w:hint="eastAsia" w:ascii="宋体" w:hAnsi="宋体" w:eastAsia="宋体" w:cs="Times New Roman"/>
          <w:bCs/>
          <w:color w:val="000000"/>
          <w:kern w:val="0"/>
          <w:sz w:val="24"/>
          <w:szCs w:val="21"/>
        </w:rPr>
        <w:t>25.1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评标委员会并非对每个投标人都做澄清要求。</w:t>
      </w:r>
    </w:p>
    <w:p w14:paraId="47E049EF">
      <w:pPr>
        <w:keepNext w:val="0"/>
        <w:keepLines w:val="0"/>
        <w:spacing w:line="500" w:lineRule="exact"/>
        <w:ind w:firstLine="480"/>
        <w:outlineLvl w:val="9"/>
        <w:rPr>
          <w:rFonts w:hint="eastAsia" w:ascii="宋体" w:hAnsi="宋体" w:eastAsia="宋体" w:cs="Times New Roman"/>
          <w:bCs/>
          <w:color w:val="000000"/>
          <w:kern w:val="0"/>
          <w:sz w:val="24"/>
          <w:szCs w:val="21"/>
        </w:rPr>
      </w:pPr>
      <w:r>
        <w:rPr>
          <w:rFonts w:hint="eastAsia" w:ascii="宋体" w:hAnsi="宋体" w:eastAsia="宋体" w:cs="Times New Roman"/>
          <w:bCs/>
          <w:color w:val="000000"/>
          <w:kern w:val="0"/>
          <w:sz w:val="24"/>
          <w:szCs w:val="21"/>
        </w:rPr>
        <w:t>25.2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p>
    <w:p w14:paraId="7DE8994E">
      <w:pPr>
        <w:keepNext w:val="0"/>
        <w:keepLines w:val="0"/>
        <w:spacing w:line="500" w:lineRule="exact"/>
        <w:ind w:firstLine="480"/>
        <w:outlineLvl w:val="9"/>
        <w:rPr>
          <w:rFonts w:hint="eastAsia" w:ascii="宋体" w:hAnsi="宋体" w:eastAsia="宋体" w:cs="Times New Roman"/>
          <w:bCs/>
          <w:color w:val="000000"/>
          <w:kern w:val="0"/>
          <w:sz w:val="24"/>
          <w:szCs w:val="21"/>
        </w:rPr>
      </w:pPr>
      <w:r>
        <w:rPr>
          <w:rFonts w:hint="eastAsia" w:ascii="宋体" w:hAnsi="宋体" w:eastAsia="宋体" w:cs="Times New Roman"/>
          <w:bCs/>
          <w:color w:val="000000"/>
          <w:kern w:val="0"/>
          <w:sz w:val="24"/>
          <w:szCs w:val="21"/>
        </w:rPr>
        <w:t>25.3接到评委会澄清、说明和补正要求的投标人如未按规定做出澄清、说明和补正，其风险由投标人自行承担。</w:t>
      </w:r>
    </w:p>
    <w:p w14:paraId="7549D6AF">
      <w:pPr>
        <w:keepNext/>
        <w:keepLines/>
        <w:ind w:firstLine="420"/>
        <w:outlineLvl w:val="3"/>
        <w:rPr>
          <w:rFonts w:hint="eastAsia" w:ascii="Arial" w:hAnsi="Arial" w:eastAsia="黑体" w:cs="Arial"/>
          <w:color w:val="000000"/>
          <w:sz w:val="28"/>
          <w:szCs w:val="28"/>
          <w:highlight w:val="none"/>
        </w:rPr>
      </w:pPr>
      <w:r>
        <w:rPr>
          <w:rFonts w:hint="eastAsia" w:ascii="Arial" w:hAnsi="Arial" w:eastAsia="黑体" w:cs="Arial"/>
          <w:color w:val="000000"/>
          <w:sz w:val="28"/>
          <w:szCs w:val="28"/>
          <w:highlight w:val="none"/>
        </w:rPr>
        <w:t>26、对投标文件的初审</w:t>
      </w:r>
    </w:p>
    <w:p w14:paraId="49B65BD8">
      <w:pPr>
        <w:keepNext w:val="0"/>
        <w:keepLines w:val="0"/>
        <w:spacing w:line="500" w:lineRule="exact"/>
        <w:ind w:firstLine="480"/>
        <w:outlineLvl w:val="9"/>
        <w:rPr>
          <w:rFonts w:hint="eastAsia" w:ascii="宋体" w:hAnsi="宋体" w:eastAsia="宋体" w:cs="Times New Roman"/>
          <w:bCs/>
          <w:color w:val="000000"/>
          <w:kern w:val="0"/>
          <w:sz w:val="24"/>
          <w:szCs w:val="21"/>
        </w:rPr>
      </w:pPr>
      <w:r>
        <w:rPr>
          <w:rFonts w:hint="eastAsia" w:ascii="宋体" w:hAnsi="宋体" w:eastAsia="宋体" w:cs="Times New Roman"/>
          <w:bCs/>
          <w:color w:val="000000"/>
          <w:kern w:val="0"/>
          <w:sz w:val="24"/>
          <w:szCs w:val="21"/>
        </w:rPr>
        <w:t>26.1投标文件初审分为资格审查和符合性审查。</w:t>
      </w:r>
    </w:p>
    <w:p w14:paraId="72A2BC8D">
      <w:pPr>
        <w:keepNext w:val="0"/>
        <w:keepLines w:val="0"/>
        <w:spacing w:line="500" w:lineRule="exact"/>
        <w:ind w:firstLine="480"/>
        <w:outlineLvl w:val="9"/>
        <w:rPr>
          <w:rFonts w:hint="eastAsia" w:ascii="宋体" w:hAnsi="宋体" w:eastAsia="宋体" w:cs="Times New Roman"/>
          <w:bCs/>
          <w:color w:val="000000"/>
          <w:kern w:val="0"/>
          <w:sz w:val="24"/>
          <w:szCs w:val="21"/>
        </w:rPr>
      </w:pPr>
      <w:r>
        <w:rPr>
          <w:rFonts w:hint="eastAsia" w:ascii="宋体" w:hAnsi="宋体" w:eastAsia="宋体" w:cs="Times New Roman"/>
          <w:bCs/>
          <w:color w:val="000000"/>
          <w:kern w:val="0"/>
          <w:sz w:val="24"/>
          <w:szCs w:val="21"/>
        </w:rPr>
        <w:t>26.1.1资格审查：依据法律法规和招标文件的规定，由采购人对投标文件中的资格证明文件进行审查。资格审查的结论，采购人以书面形式向评委会进行反馈。</w:t>
      </w:r>
    </w:p>
    <w:p w14:paraId="10D4392A">
      <w:pPr>
        <w:keepNext w:val="0"/>
        <w:keepLines w:val="0"/>
        <w:spacing w:line="500" w:lineRule="exact"/>
        <w:ind w:firstLine="480"/>
        <w:outlineLvl w:val="9"/>
        <w:rPr>
          <w:rFonts w:hint="eastAsia" w:ascii="宋体" w:hAnsi="宋体" w:eastAsia="宋体" w:cs="Times New Roman"/>
          <w:bCs/>
          <w:color w:val="000000"/>
          <w:kern w:val="0"/>
          <w:sz w:val="24"/>
          <w:szCs w:val="21"/>
        </w:rPr>
      </w:pPr>
      <w:r>
        <w:rPr>
          <w:rFonts w:hint="eastAsia" w:ascii="宋体" w:hAnsi="宋体" w:eastAsia="宋体" w:cs="Times New Roman"/>
          <w:bCs/>
          <w:color w:val="000000"/>
          <w:kern w:val="0"/>
          <w:sz w:val="24"/>
          <w:szCs w:val="21"/>
        </w:rPr>
        <w:t>采购人在进行资格审查的同时，将在信用中国网站（www.creditchina.gov.cn）、中国政府采购网（www.ccgp.gov.cn）查询投标人的信用记录，以确定投标人是否具备投标资格。</w:t>
      </w:r>
    </w:p>
    <w:p w14:paraId="59F3B492">
      <w:pPr>
        <w:keepNext w:val="0"/>
        <w:keepLines w:val="0"/>
        <w:spacing w:line="500" w:lineRule="exact"/>
        <w:ind w:firstLine="480"/>
        <w:outlineLvl w:val="9"/>
        <w:rPr>
          <w:rFonts w:hint="eastAsia" w:ascii="宋体" w:hAnsi="宋体" w:eastAsia="宋体" w:cs="Times New Roman"/>
          <w:bCs/>
          <w:color w:val="000000"/>
          <w:kern w:val="0"/>
          <w:sz w:val="24"/>
          <w:szCs w:val="21"/>
        </w:rPr>
      </w:pPr>
      <w:r>
        <w:rPr>
          <w:rFonts w:hint="eastAsia" w:ascii="宋体" w:hAnsi="宋体" w:eastAsia="宋体" w:cs="Times New Roman"/>
          <w:bCs/>
          <w:color w:val="000000"/>
          <w:kern w:val="0"/>
          <w:sz w:val="24"/>
          <w:szCs w:val="21"/>
        </w:rPr>
        <w:t>26.1.2符合性审查：依据招标文件的规定，由评委会从投标文件的有效性、完整性和对招标文件的响应程度进行审查，以确定是否对招标文件的实质性要求作出响应。</w:t>
      </w:r>
    </w:p>
    <w:p w14:paraId="10DE0029">
      <w:pPr>
        <w:keepNext w:val="0"/>
        <w:keepLines w:val="0"/>
        <w:spacing w:line="500" w:lineRule="exact"/>
        <w:ind w:firstLine="480"/>
        <w:outlineLvl w:val="9"/>
        <w:rPr>
          <w:rFonts w:hint="eastAsia" w:ascii="宋体" w:hAnsi="宋体" w:eastAsia="宋体" w:cs="Times New Roman"/>
          <w:bCs/>
          <w:color w:val="000000"/>
          <w:kern w:val="0"/>
          <w:sz w:val="24"/>
          <w:szCs w:val="21"/>
        </w:rPr>
      </w:pPr>
      <w:r>
        <w:rPr>
          <w:rFonts w:hint="eastAsia" w:ascii="宋体" w:hAnsi="宋体" w:eastAsia="宋体" w:cs="Times New Roman"/>
          <w:bCs/>
          <w:color w:val="000000"/>
          <w:kern w:val="0"/>
          <w:sz w:val="24"/>
          <w:szCs w:val="21"/>
        </w:rPr>
        <w:t>26.1.3未通过资格审查或符合性审查的投标人，采购中心将在苏采云系统中告知未通过资格审查或符合性审查的原因，评审结束后，采购中心将不再告知未通过资格审查或符合性审查的原因。</w:t>
      </w:r>
    </w:p>
    <w:p w14:paraId="4FC58704">
      <w:pPr>
        <w:keepNext w:val="0"/>
        <w:keepLines w:val="0"/>
        <w:spacing w:line="500" w:lineRule="exact"/>
        <w:ind w:firstLine="480"/>
        <w:outlineLvl w:val="9"/>
        <w:rPr>
          <w:rFonts w:hint="eastAsia" w:ascii="宋体" w:hAnsi="宋体" w:eastAsia="宋体" w:cs="Times New Roman"/>
          <w:bCs/>
          <w:color w:val="000000"/>
          <w:kern w:val="0"/>
          <w:sz w:val="24"/>
          <w:szCs w:val="21"/>
        </w:rPr>
      </w:pPr>
      <w:r>
        <w:rPr>
          <w:rFonts w:hint="eastAsia" w:ascii="宋体" w:hAnsi="宋体" w:eastAsia="宋体" w:cs="Times New Roman"/>
          <w:bCs/>
          <w:color w:val="000000"/>
          <w:kern w:val="0"/>
          <w:sz w:val="24"/>
          <w:szCs w:val="21"/>
        </w:rPr>
        <w:t>26.2在详细评标之前，评委会将首先审查每份投标文件是否实质性响应了招标文件的要求。实质性响应的投标应该是与招标文件要求的全部条款、条件和规格相符，没有重大偏离或保留的投标。</w:t>
      </w:r>
    </w:p>
    <w:p w14:paraId="66F9FE63">
      <w:pPr>
        <w:keepNext w:val="0"/>
        <w:keepLines w:val="0"/>
        <w:spacing w:line="500" w:lineRule="exact"/>
        <w:ind w:firstLine="480"/>
        <w:outlineLvl w:val="9"/>
        <w:rPr>
          <w:rFonts w:hint="eastAsia" w:ascii="宋体" w:hAnsi="宋体" w:eastAsia="宋体" w:cs="Times New Roman"/>
          <w:bCs/>
          <w:color w:val="000000"/>
          <w:kern w:val="0"/>
          <w:sz w:val="24"/>
          <w:szCs w:val="21"/>
        </w:rPr>
      </w:pPr>
      <w:r>
        <w:rPr>
          <w:rFonts w:hint="eastAsia" w:ascii="宋体" w:hAnsi="宋体" w:eastAsia="宋体" w:cs="Times New Roman"/>
          <w:bCs/>
          <w:color w:val="000000"/>
          <w:kern w:val="0"/>
          <w:sz w:val="24"/>
          <w:szCs w:val="21"/>
        </w:rPr>
        <w:t>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2511A4B6">
      <w:pPr>
        <w:keepNext w:val="0"/>
        <w:keepLines w:val="0"/>
        <w:spacing w:line="500" w:lineRule="exact"/>
        <w:ind w:firstLine="480"/>
        <w:outlineLvl w:val="9"/>
        <w:rPr>
          <w:rFonts w:hint="eastAsia" w:ascii="宋体" w:hAnsi="宋体" w:eastAsia="宋体" w:cs="Times New Roman"/>
          <w:bCs/>
          <w:color w:val="000000"/>
          <w:kern w:val="0"/>
          <w:sz w:val="24"/>
          <w:szCs w:val="21"/>
        </w:rPr>
      </w:pPr>
      <w:r>
        <w:rPr>
          <w:rFonts w:hint="eastAsia" w:ascii="宋体" w:hAnsi="宋体" w:eastAsia="宋体" w:cs="Times New Roman"/>
          <w:bCs/>
          <w:color w:val="000000"/>
          <w:kern w:val="0"/>
          <w:sz w:val="24"/>
          <w:szCs w:val="21"/>
        </w:rPr>
        <w:t>26.3如果投标文件实质上没有响应招标文件的要求，评委会将予以拒绝，投标人不得通过修改或撤销不合要求的偏离或保留而使其投标成为实质性响应的投标。</w:t>
      </w:r>
    </w:p>
    <w:p w14:paraId="757DD842">
      <w:pPr>
        <w:keepNext w:val="0"/>
        <w:keepLines w:val="0"/>
        <w:spacing w:line="500" w:lineRule="exact"/>
        <w:ind w:firstLine="480"/>
        <w:outlineLvl w:val="9"/>
        <w:rPr>
          <w:rFonts w:hint="eastAsia" w:ascii="宋体" w:hAnsi="宋体" w:eastAsia="宋体" w:cs="Times New Roman"/>
          <w:bCs/>
          <w:color w:val="000000"/>
          <w:kern w:val="0"/>
          <w:sz w:val="24"/>
          <w:szCs w:val="21"/>
        </w:rPr>
      </w:pPr>
      <w:r>
        <w:rPr>
          <w:rFonts w:hint="eastAsia" w:ascii="宋体" w:hAnsi="宋体" w:eastAsia="宋体" w:cs="Times New Roman"/>
          <w:bCs/>
          <w:color w:val="000000"/>
          <w:kern w:val="0"/>
          <w:sz w:val="24"/>
          <w:szCs w:val="21"/>
        </w:rPr>
        <w:t>26.4评委会将对确定为实质性响应的投标进行进一步审核，看其是否有计算上或累加上的算术错误，修正错误的原则如下：</w:t>
      </w:r>
    </w:p>
    <w:p w14:paraId="0BD11059">
      <w:pPr>
        <w:keepNext w:val="0"/>
        <w:keepLines w:val="0"/>
        <w:spacing w:line="500" w:lineRule="exact"/>
        <w:ind w:firstLine="480"/>
        <w:outlineLvl w:val="9"/>
        <w:rPr>
          <w:rFonts w:hint="eastAsia" w:ascii="宋体" w:hAnsi="宋体" w:eastAsia="宋体" w:cs="Times New Roman"/>
          <w:bCs/>
          <w:color w:val="000000"/>
          <w:kern w:val="0"/>
          <w:sz w:val="24"/>
          <w:szCs w:val="21"/>
        </w:rPr>
      </w:pPr>
      <w:r>
        <w:rPr>
          <w:rFonts w:hint="eastAsia" w:ascii="宋体" w:hAnsi="宋体" w:eastAsia="宋体" w:cs="Times New Roman"/>
          <w:bCs/>
          <w:color w:val="000000"/>
          <w:kern w:val="0"/>
          <w:sz w:val="24"/>
          <w:szCs w:val="21"/>
        </w:rPr>
        <w:t>（1）投标文件中开标一览表内容与投标文件中相应内容不一致的，以开标一览表为准。</w:t>
      </w:r>
    </w:p>
    <w:p w14:paraId="22EA52CF">
      <w:pPr>
        <w:keepNext w:val="0"/>
        <w:keepLines w:val="0"/>
        <w:spacing w:line="500" w:lineRule="exact"/>
        <w:ind w:firstLine="480"/>
        <w:outlineLvl w:val="9"/>
        <w:rPr>
          <w:rFonts w:hint="eastAsia" w:ascii="宋体" w:hAnsi="宋体" w:eastAsia="宋体" w:cs="Times New Roman"/>
          <w:bCs/>
          <w:color w:val="000000"/>
          <w:kern w:val="0"/>
          <w:sz w:val="24"/>
          <w:szCs w:val="21"/>
        </w:rPr>
      </w:pPr>
      <w:r>
        <w:rPr>
          <w:rFonts w:hint="eastAsia" w:ascii="宋体" w:hAnsi="宋体" w:eastAsia="宋体" w:cs="Times New Roman"/>
          <w:bCs/>
          <w:color w:val="000000"/>
          <w:kern w:val="0"/>
          <w:sz w:val="24"/>
          <w:szCs w:val="21"/>
        </w:rPr>
        <w:t>（2）大写金额和小写金额不一致的，以大写金额为准。</w:t>
      </w:r>
    </w:p>
    <w:p w14:paraId="1DD52807">
      <w:pPr>
        <w:keepNext w:val="0"/>
        <w:keepLines w:val="0"/>
        <w:spacing w:line="500" w:lineRule="exact"/>
        <w:ind w:firstLine="480"/>
        <w:outlineLvl w:val="9"/>
        <w:rPr>
          <w:rFonts w:hint="eastAsia" w:ascii="宋体" w:hAnsi="宋体" w:eastAsia="宋体" w:cs="Times New Roman"/>
          <w:bCs/>
          <w:color w:val="000000"/>
          <w:kern w:val="0"/>
          <w:sz w:val="24"/>
          <w:szCs w:val="21"/>
        </w:rPr>
      </w:pPr>
      <w:r>
        <w:rPr>
          <w:rFonts w:hint="eastAsia" w:ascii="宋体" w:hAnsi="宋体" w:eastAsia="宋体" w:cs="Times New Roman"/>
          <w:bCs/>
          <w:color w:val="000000"/>
          <w:kern w:val="0"/>
          <w:sz w:val="24"/>
          <w:szCs w:val="21"/>
        </w:rPr>
        <w:t>（3） 单价金额小数点或者百分比有明显错位的，以开标一览表的总价为准，并修改单价。</w:t>
      </w:r>
    </w:p>
    <w:p w14:paraId="0CE16AA1">
      <w:pPr>
        <w:keepNext w:val="0"/>
        <w:keepLines w:val="0"/>
        <w:spacing w:line="500" w:lineRule="exact"/>
        <w:ind w:firstLine="480"/>
        <w:outlineLvl w:val="9"/>
        <w:rPr>
          <w:rFonts w:hint="eastAsia" w:ascii="宋体" w:hAnsi="宋体" w:eastAsia="宋体" w:cs="Times New Roman"/>
          <w:bCs/>
          <w:color w:val="000000"/>
          <w:kern w:val="0"/>
          <w:sz w:val="24"/>
          <w:szCs w:val="21"/>
        </w:rPr>
      </w:pPr>
      <w:r>
        <w:rPr>
          <w:rFonts w:hint="eastAsia" w:ascii="宋体" w:hAnsi="宋体" w:eastAsia="宋体" w:cs="Times New Roman"/>
          <w:bCs/>
          <w:color w:val="000000"/>
          <w:kern w:val="0"/>
          <w:sz w:val="24"/>
          <w:szCs w:val="21"/>
        </w:rPr>
        <w:t>（4）总价金额与按单价汇总金额不一致的，以单价金额计算结果为准。</w:t>
      </w:r>
    </w:p>
    <w:p w14:paraId="0EEB70B6">
      <w:pPr>
        <w:keepNext w:val="0"/>
        <w:keepLines w:val="0"/>
        <w:spacing w:line="500" w:lineRule="exact"/>
        <w:ind w:firstLine="480"/>
        <w:outlineLvl w:val="9"/>
        <w:rPr>
          <w:rFonts w:hint="eastAsia" w:ascii="宋体" w:hAnsi="宋体" w:eastAsia="宋体" w:cs="Times New Roman"/>
          <w:bCs/>
          <w:color w:val="000000"/>
          <w:kern w:val="0"/>
          <w:sz w:val="24"/>
          <w:szCs w:val="21"/>
        </w:rPr>
      </w:pPr>
      <w:r>
        <w:rPr>
          <w:rFonts w:hint="eastAsia" w:ascii="宋体" w:hAnsi="宋体" w:eastAsia="宋体" w:cs="Times New Roman"/>
          <w:bCs/>
          <w:color w:val="000000"/>
          <w:kern w:val="0"/>
          <w:sz w:val="24"/>
          <w:szCs w:val="21"/>
        </w:rPr>
        <w:t>同时出现两种以上错误的，按照前款规定的顺序修正。</w:t>
      </w:r>
    </w:p>
    <w:p w14:paraId="4C6DD0F5">
      <w:pPr>
        <w:keepNext w:val="0"/>
        <w:keepLines w:val="0"/>
        <w:spacing w:line="500" w:lineRule="exact"/>
        <w:ind w:firstLine="480"/>
        <w:outlineLvl w:val="9"/>
        <w:rPr>
          <w:rFonts w:hint="eastAsia" w:ascii="宋体" w:hAnsi="宋体" w:eastAsia="宋体" w:cs="Times New Roman"/>
          <w:bCs/>
          <w:color w:val="000000"/>
          <w:kern w:val="0"/>
          <w:sz w:val="24"/>
          <w:szCs w:val="21"/>
        </w:rPr>
      </w:pPr>
      <w:r>
        <w:rPr>
          <w:rFonts w:hint="eastAsia" w:ascii="宋体" w:hAnsi="宋体" w:eastAsia="宋体" w:cs="Times New Roman"/>
          <w:bCs/>
          <w:color w:val="000000"/>
          <w:kern w:val="0"/>
          <w:sz w:val="24"/>
          <w:szCs w:val="21"/>
        </w:rPr>
        <w:t>26.5评委会将按上述修正错误的方法调整投标文件中的投标报价，并通过苏采云系统告知投标人，调整后的价格应对投标人具有约束力。如果投标人不接受修正后的价格，则其投标将被拒绝。</w:t>
      </w:r>
    </w:p>
    <w:p w14:paraId="22512C9C">
      <w:pPr>
        <w:keepNext w:val="0"/>
        <w:keepLines w:val="0"/>
        <w:spacing w:line="500" w:lineRule="exact"/>
        <w:ind w:firstLine="480"/>
        <w:outlineLvl w:val="9"/>
        <w:rPr>
          <w:rFonts w:hint="eastAsia" w:ascii="宋体" w:hAnsi="宋体" w:eastAsia="宋体" w:cs="Times New Roman"/>
          <w:bCs/>
          <w:color w:val="000000"/>
          <w:kern w:val="0"/>
          <w:sz w:val="24"/>
          <w:szCs w:val="21"/>
        </w:rPr>
      </w:pPr>
      <w:r>
        <w:rPr>
          <w:rFonts w:hint="eastAsia" w:ascii="宋体" w:hAnsi="宋体" w:eastAsia="宋体" w:cs="Times New Roman"/>
          <w:bCs/>
          <w:color w:val="000000"/>
          <w:kern w:val="0"/>
          <w:sz w:val="24"/>
          <w:szCs w:val="21"/>
        </w:rPr>
        <w:t>26.6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28B8C88D">
      <w:pPr>
        <w:keepNext w:val="0"/>
        <w:keepLines w:val="0"/>
        <w:spacing w:line="500" w:lineRule="exact"/>
        <w:ind w:firstLine="480"/>
        <w:outlineLvl w:val="9"/>
        <w:rPr>
          <w:rFonts w:hint="eastAsia" w:ascii="宋体" w:hAnsi="宋体" w:eastAsia="宋体" w:cs="Times New Roman"/>
          <w:bCs/>
          <w:color w:val="000000"/>
          <w:kern w:val="0"/>
          <w:sz w:val="24"/>
          <w:szCs w:val="21"/>
        </w:rPr>
      </w:pPr>
      <w:r>
        <w:rPr>
          <w:rFonts w:hint="eastAsia" w:ascii="宋体" w:hAnsi="宋体" w:eastAsia="宋体" w:cs="Times New Roman"/>
          <w:bCs/>
          <w:color w:val="000000"/>
          <w:kern w:val="0"/>
          <w:sz w:val="24"/>
          <w:szCs w:val="21"/>
        </w:rPr>
        <w:t>非单一产品采购项目，招标文件中将载明其中的核心产品。多家投标人提供的核心产品品牌相同的，按前两款规定处理。</w:t>
      </w:r>
    </w:p>
    <w:p w14:paraId="2BF07049">
      <w:pPr>
        <w:keepNext w:val="0"/>
        <w:keepLines w:val="0"/>
        <w:spacing w:line="500" w:lineRule="exact"/>
        <w:ind w:left="0" w:firstLine="480"/>
        <w:outlineLvl w:val="9"/>
        <w:rPr>
          <w:rFonts w:hint="eastAsia" w:ascii="宋体" w:hAnsi="宋体" w:eastAsia="宋体" w:cs="Times New Roman"/>
          <w:bCs/>
          <w:color w:val="000000"/>
          <w:kern w:val="0"/>
          <w:sz w:val="24"/>
          <w:szCs w:val="21"/>
        </w:rPr>
      </w:pPr>
      <w:r>
        <w:rPr>
          <w:rFonts w:hint="eastAsia" w:ascii="宋体" w:hAnsi="宋体" w:eastAsia="宋体" w:cs="Times New Roman"/>
          <w:bCs/>
          <w:color w:val="000000"/>
          <w:kern w:val="0"/>
          <w:sz w:val="24"/>
          <w:szCs w:val="21"/>
        </w:rPr>
        <w:t>26.7投标人在开、评标全过程中应保持通讯畅通，及时登录苏采云系统查阅、答复相关信息，并安排专人与采购中心及评标委员会联系。</w:t>
      </w:r>
      <w:bookmarkEnd w:id="110"/>
      <w:bookmarkEnd w:id="111"/>
      <w:bookmarkEnd w:id="112"/>
      <w:bookmarkStart w:id="113" w:name="_Toc513029234"/>
      <w:bookmarkStart w:id="114" w:name="_Toc16938550"/>
      <w:bookmarkStart w:id="115" w:name="_Toc20823306"/>
    </w:p>
    <w:p w14:paraId="6D297EE5">
      <w:pPr>
        <w:keepNext/>
        <w:keepLines/>
        <w:spacing w:line="240" w:lineRule="auto"/>
        <w:ind w:left="0" w:firstLine="420"/>
        <w:outlineLvl w:val="3"/>
        <w:rPr>
          <w:rFonts w:hint="eastAsia" w:ascii="Arial" w:hAnsi="Arial" w:eastAsia="黑体" w:cs="Arial"/>
          <w:bCs w:val="0"/>
          <w:color w:val="000000"/>
          <w:kern w:val="2"/>
          <w:sz w:val="28"/>
          <w:szCs w:val="28"/>
          <w:highlight w:val="none"/>
        </w:rPr>
      </w:pPr>
      <w:r>
        <w:rPr>
          <w:rFonts w:hint="eastAsia" w:ascii="Arial" w:hAnsi="Arial" w:eastAsia="黑体" w:cs="Arial"/>
          <w:bCs w:val="0"/>
          <w:color w:val="000000"/>
          <w:kern w:val="2"/>
          <w:sz w:val="28"/>
          <w:szCs w:val="28"/>
          <w:highlight w:val="none"/>
        </w:rPr>
        <w:t>2</w:t>
      </w:r>
      <w:r>
        <w:rPr>
          <w:rFonts w:hint="eastAsia" w:ascii="Arial" w:hAnsi="Arial" w:eastAsia="黑体" w:cs="Arial"/>
          <w:bCs w:val="0"/>
          <w:color w:val="000000"/>
          <w:kern w:val="2"/>
          <w:sz w:val="28"/>
          <w:szCs w:val="28"/>
          <w:highlight w:val="none"/>
          <w:lang w:val="en-US" w:eastAsia="zh-CN"/>
        </w:rPr>
        <w:t>7</w:t>
      </w:r>
      <w:r>
        <w:rPr>
          <w:rFonts w:hint="eastAsia" w:ascii="Arial" w:hAnsi="Arial" w:eastAsia="黑体" w:cs="Arial"/>
          <w:bCs w:val="0"/>
          <w:color w:val="000000"/>
          <w:kern w:val="2"/>
          <w:sz w:val="28"/>
          <w:szCs w:val="28"/>
          <w:highlight w:val="none"/>
        </w:rPr>
        <w:t>、</w:t>
      </w:r>
      <w:bookmarkEnd w:id="113"/>
      <w:bookmarkEnd w:id="114"/>
      <w:bookmarkEnd w:id="115"/>
      <w:r>
        <w:rPr>
          <w:rFonts w:hint="eastAsia" w:ascii="Arial" w:hAnsi="Arial" w:eastAsia="黑体" w:cs="Arial"/>
          <w:bCs w:val="0"/>
          <w:color w:val="000000"/>
          <w:kern w:val="2"/>
          <w:sz w:val="28"/>
          <w:szCs w:val="28"/>
          <w:highlight w:val="none"/>
        </w:rPr>
        <w:t>无效投标条款和废标条款</w:t>
      </w:r>
      <w:bookmarkStart w:id="116" w:name="_Toc20823307"/>
      <w:bookmarkStart w:id="117" w:name="_Toc16938551"/>
      <w:bookmarkStart w:id="118" w:name="_Toc513029235"/>
    </w:p>
    <w:p w14:paraId="3999CCBF">
      <w:pPr>
        <w:keepNext/>
        <w:keepLines/>
        <w:pageBreakBefore w:val="0"/>
        <w:spacing w:line="240" w:lineRule="auto"/>
        <w:ind w:left="0" w:firstLine="420"/>
        <w:outlineLvl w:val="3"/>
        <w:rPr>
          <w:rFonts w:hint="eastAsia" w:ascii="宋体" w:hAnsi="宋体" w:eastAsia="宋体" w:cs="Times New Roman"/>
          <w:bCs/>
          <w:color w:val="000000"/>
          <w:kern w:val="0"/>
          <w:sz w:val="24"/>
          <w:szCs w:val="21"/>
        </w:rPr>
      </w:pPr>
      <w:bookmarkStart w:id="119" w:name="_Toc120614219"/>
      <w:r>
        <w:rPr>
          <w:rFonts w:hint="eastAsia" w:ascii="宋体" w:hAnsi="宋体" w:eastAsia="宋体" w:cs="Times New Roman"/>
          <w:bCs/>
          <w:color w:val="000000"/>
          <w:kern w:val="0"/>
          <w:sz w:val="24"/>
          <w:szCs w:val="21"/>
        </w:rPr>
        <w:t>2</w:t>
      </w:r>
      <w:r>
        <w:rPr>
          <w:rFonts w:hint="default" w:ascii="宋体" w:hAnsi="宋体" w:eastAsia="宋体" w:cs="Times New Roman"/>
          <w:bCs/>
          <w:color w:val="000000"/>
          <w:kern w:val="0"/>
          <w:sz w:val="24"/>
          <w:szCs w:val="21"/>
        </w:rPr>
        <w:t>7</w:t>
      </w:r>
      <w:r>
        <w:rPr>
          <w:rFonts w:hint="eastAsia" w:ascii="宋体" w:hAnsi="宋体" w:eastAsia="宋体" w:cs="Times New Roman"/>
          <w:bCs/>
          <w:color w:val="000000"/>
          <w:kern w:val="0"/>
          <w:sz w:val="24"/>
          <w:szCs w:val="21"/>
        </w:rPr>
        <w:t>.1无效投标条款</w:t>
      </w:r>
    </w:p>
    <w:p w14:paraId="4F7399C2">
      <w:pPr>
        <w:pageBreakBefore w:val="0"/>
        <w:spacing w:line="500" w:lineRule="exact"/>
        <w:ind w:firstLine="480"/>
        <w:rPr>
          <w:rFonts w:hint="eastAsia" w:ascii="宋体" w:hAnsi="宋体" w:eastAsia="宋体" w:cs="Times New Roman"/>
          <w:bCs/>
          <w:color w:val="000000"/>
          <w:kern w:val="0"/>
          <w:sz w:val="24"/>
          <w:szCs w:val="21"/>
        </w:rPr>
      </w:pPr>
      <w:r>
        <w:rPr>
          <w:rFonts w:hint="eastAsia" w:ascii="宋体" w:hAnsi="宋体" w:eastAsia="宋体" w:cs="Times New Roman"/>
          <w:bCs/>
          <w:color w:val="000000"/>
          <w:kern w:val="0"/>
          <w:sz w:val="24"/>
          <w:szCs w:val="21"/>
        </w:rPr>
        <w:t>2</w:t>
      </w:r>
      <w:r>
        <w:rPr>
          <w:rFonts w:hint="default" w:ascii="宋体" w:hAnsi="宋体" w:eastAsia="宋体" w:cs="Times New Roman"/>
          <w:bCs/>
          <w:color w:val="000000"/>
          <w:kern w:val="0"/>
          <w:sz w:val="24"/>
          <w:szCs w:val="21"/>
        </w:rPr>
        <w:t>7</w:t>
      </w:r>
      <w:r>
        <w:rPr>
          <w:rFonts w:hint="eastAsia" w:ascii="宋体" w:hAnsi="宋体" w:eastAsia="宋体" w:cs="Times New Roman"/>
          <w:bCs/>
          <w:color w:val="000000"/>
          <w:kern w:val="0"/>
          <w:sz w:val="24"/>
          <w:szCs w:val="21"/>
        </w:rPr>
        <w:t>.1.1</w:t>
      </w:r>
      <w:r>
        <w:rPr>
          <w:rFonts w:hint="eastAsia" w:ascii="宋体" w:hAnsi="宋体" w:eastAsia="宋体" w:cs="Times New Roman"/>
          <w:bCs/>
          <w:color w:val="000000"/>
          <w:kern w:val="0"/>
          <w:sz w:val="24"/>
          <w:szCs w:val="21"/>
          <w:lang w:eastAsia="zh-CN"/>
        </w:rPr>
        <w:t>投标人</w:t>
      </w:r>
      <w:r>
        <w:rPr>
          <w:rFonts w:hint="eastAsia" w:ascii="宋体" w:hAnsi="宋体" w:eastAsia="宋体" w:cs="Times New Roman"/>
          <w:bCs/>
          <w:color w:val="000000"/>
          <w:kern w:val="0"/>
          <w:sz w:val="24"/>
          <w:szCs w:val="21"/>
        </w:rPr>
        <w:t>在</w:t>
      </w:r>
      <w:r>
        <w:rPr>
          <w:rFonts w:hint="eastAsia" w:ascii="宋体" w:hAnsi="宋体" w:eastAsia="宋体" w:cs="Times New Roman"/>
          <w:color w:val="000000"/>
          <w:kern w:val="0"/>
          <w:sz w:val="24"/>
          <w:szCs w:val="24"/>
        </w:rPr>
        <w:t>苏采云系统</w:t>
      </w:r>
      <w:r>
        <w:rPr>
          <w:rFonts w:hint="eastAsia" w:ascii="宋体" w:hAnsi="宋体" w:eastAsia="宋体" w:cs="Times New Roman"/>
          <w:bCs/>
          <w:color w:val="000000"/>
          <w:kern w:val="0"/>
          <w:sz w:val="24"/>
          <w:szCs w:val="21"/>
        </w:rPr>
        <w:t>规定的时间内未成功解密电子投标文件的。</w:t>
      </w:r>
    </w:p>
    <w:p w14:paraId="7693A449">
      <w:pPr>
        <w:pageBreakBefore w:val="0"/>
        <w:spacing w:line="500" w:lineRule="exact"/>
        <w:ind w:firstLine="480"/>
        <w:rPr>
          <w:rFonts w:hint="eastAsia" w:ascii="宋体" w:hAnsi="宋体" w:eastAsia="宋体" w:cs="Times New Roman"/>
          <w:bCs/>
          <w:color w:val="000000"/>
          <w:kern w:val="0"/>
          <w:sz w:val="24"/>
          <w:szCs w:val="21"/>
        </w:rPr>
      </w:pPr>
      <w:r>
        <w:rPr>
          <w:rFonts w:hint="eastAsia" w:ascii="宋体" w:hAnsi="宋体" w:eastAsia="宋体" w:cs="Times New Roman"/>
          <w:bCs/>
          <w:color w:val="000000"/>
          <w:kern w:val="0"/>
          <w:sz w:val="24"/>
          <w:szCs w:val="21"/>
        </w:rPr>
        <w:t>2</w:t>
      </w:r>
      <w:r>
        <w:rPr>
          <w:rFonts w:hint="default" w:ascii="宋体" w:hAnsi="宋体" w:eastAsia="宋体" w:cs="Times New Roman"/>
          <w:bCs/>
          <w:color w:val="000000"/>
          <w:kern w:val="0"/>
          <w:sz w:val="24"/>
          <w:szCs w:val="21"/>
        </w:rPr>
        <w:t>7</w:t>
      </w:r>
      <w:r>
        <w:rPr>
          <w:rFonts w:hint="eastAsia" w:ascii="宋体" w:hAnsi="宋体" w:eastAsia="宋体" w:cs="Times New Roman"/>
          <w:bCs/>
          <w:color w:val="000000"/>
          <w:kern w:val="0"/>
          <w:sz w:val="24"/>
          <w:szCs w:val="21"/>
        </w:rPr>
        <w:t>.1.</w:t>
      </w:r>
      <w:r>
        <w:rPr>
          <w:rFonts w:hint="default" w:ascii="宋体" w:hAnsi="宋体" w:eastAsia="宋体" w:cs="Times New Roman"/>
          <w:bCs/>
          <w:color w:val="000000"/>
          <w:kern w:val="0"/>
          <w:sz w:val="24"/>
          <w:szCs w:val="21"/>
        </w:rPr>
        <w:t>2</w:t>
      </w:r>
      <w:r>
        <w:rPr>
          <w:rFonts w:hint="eastAsia" w:ascii="宋体" w:hAnsi="宋体" w:eastAsia="宋体" w:cs="Times New Roman"/>
          <w:bCs/>
          <w:color w:val="000000"/>
          <w:kern w:val="0"/>
          <w:sz w:val="24"/>
          <w:szCs w:val="21"/>
          <w:lang w:eastAsia="zh-CN"/>
        </w:rPr>
        <w:t>投标人</w:t>
      </w:r>
      <w:r>
        <w:rPr>
          <w:rFonts w:hint="eastAsia" w:ascii="宋体" w:hAnsi="宋体" w:eastAsia="宋体" w:cs="Times New Roman"/>
          <w:bCs/>
          <w:color w:val="000000"/>
          <w:kern w:val="0"/>
          <w:sz w:val="24"/>
          <w:szCs w:val="21"/>
        </w:rPr>
        <w:t>未按照</w:t>
      </w:r>
      <w:r>
        <w:rPr>
          <w:rFonts w:hint="eastAsia" w:ascii="宋体" w:hAnsi="宋体" w:eastAsia="宋体" w:cs="Times New Roman"/>
          <w:bCs/>
          <w:color w:val="000000"/>
          <w:kern w:val="0"/>
          <w:sz w:val="24"/>
          <w:szCs w:val="21"/>
          <w:lang w:eastAsia="zh-CN"/>
        </w:rPr>
        <w:t>招标文件</w:t>
      </w:r>
      <w:r>
        <w:rPr>
          <w:rFonts w:hint="eastAsia" w:ascii="宋体" w:hAnsi="宋体" w:eastAsia="宋体" w:cs="Times New Roman"/>
          <w:bCs/>
          <w:color w:val="000000"/>
          <w:kern w:val="0"/>
          <w:sz w:val="24"/>
          <w:szCs w:val="21"/>
        </w:rPr>
        <w:t>要求上传电子投标文件的。</w:t>
      </w:r>
    </w:p>
    <w:p w14:paraId="0D1BD128">
      <w:pPr>
        <w:pageBreakBefore w:val="0"/>
        <w:spacing w:line="500" w:lineRule="exact"/>
        <w:ind w:left="478"/>
        <w:rPr>
          <w:rFonts w:hint="eastAsia" w:ascii="宋体" w:hAnsi="宋体" w:eastAsia="宋体" w:cs="Times New Roman"/>
          <w:bCs/>
          <w:color w:val="000000"/>
          <w:kern w:val="0"/>
          <w:sz w:val="24"/>
          <w:szCs w:val="21"/>
        </w:rPr>
      </w:pPr>
      <w:r>
        <w:rPr>
          <w:rFonts w:hint="eastAsia" w:ascii="宋体" w:hAnsi="宋体" w:eastAsia="宋体" w:cs="Times New Roman"/>
          <w:bCs/>
          <w:color w:val="000000"/>
          <w:kern w:val="0"/>
          <w:sz w:val="24"/>
          <w:szCs w:val="21"/>
        </w:rPr>
        <w:t>2</w:t>
      </w:r>
      <w:r>
        <w:rPr>
          <w:rFonts w:hint="default" w:ascii="宋体" w:hAnsi="宋体" w:eastAsia="宋体" w:cs="Times New Roman"/>
          <w:bCs/>
          <w:color w:val="000000"/>
          <w:kern w:val="0"/>
          <w:sz w:val="24"/>
          <w:szCs w:val="21"/>
        </w:rPr>
        <w:t>7</w:t>
      </w:r>
      <w:r>
        <w:rPr>
          <w:rFonts w:hint="eastAsia" w:ascii="宋体" w:hAnsi="宋体" w:eastAsia="宋体" w:cs="Times New Roman"/>
          <w:bCs/>
          <w:color w:val="000000"/>
          <w:kern w:val="0"/>
          <w:sz w:val="24"/>
          <w:szCs w:val="21"/>
        </w:rPr>
        <w:t>.1.</w:t>
      </w:r>
      <w:r>
        <w:rPr>
          <w:rFonts w:hint="default" w:ascii="宋体" w:hAnsi="宋体" w:eastAsia="宋体" w:cs="Times New Roman"/>
          <w:bCs/>
          <w:color w:val="000000"/>
          <w:kern w:val="0"/>
          <w:sz w:val="24"/>
          <w:szCs w:val="21"/>
        </w:rPr>
        <w:t>3</w:t>
      </w:r>
      <w:r>
        <w:rPr>
          <w:rFonts w:hint="eastAsia" w:ascii="宋体" w:hAnsi="宋体" w:eastAsia="宋体" w:cs="Times New Roman"/>
          <w:bCs/>
          <w:color w:val="000000"/>
          <w:kern w:val="0"/>
          <w:sz w:val="24"/>
          <w:szCs w:val="21"/>
        </w:rPr>
        <w:t>同一</w:t>
      </w:r>
      <w:r>
        <w:rPr>
          <w:rFonts w:hint="eastAsia" w:ascii="宋体" w:hAnsi="宋体" w:eastAsia="宋体" w:cs="Times New Roman"/>
          <w:bCs/>
          <w:color w:val="000000"/>
          <w:kern w:val="0"/>
          <w:sz w:val="24"/>
          <w:szCs w:val="21"/>
          <w:lang w:eastAsia="zh-CN"/>
        </w:rPr>
        <w:t>投标人</w:t>
      </w:r>
      <w:r>
        <w:rPr>
          <w:rFonts w:hint="eastAsia" w:ascii="宋体" w:hAnsi="宋体" w:eastAsia="宋体" w:cs="Times New Roman"/>
          <w:bCs/>
          <w:color w:val="000000"/>
          <w:kern w:val="0"/>
          <w:sz w:val="24"/>
          <w:szCs w:val="21"/>
        </w:rPr>
        <w:t>提交两个</w:t>
      </w:r>
      <w:r>
        <w:rPr>
          <w:rFonts w:hint="default" w:ascii="宋体" w:hAnsi="宋体" w:eastAsia="宋体" w:cs="Times New Roman"/>
          <w:bCs/>
          <w:color w:val="000000"/>
          <w:kern w:val="0"/>
          <w:sz w:val="24"/>
          <w:szCs w:val="21"/>
        </w:rPr>
        <w:t>（</w:t>
      </w:r>
      <w:r>
        <w:rPr>
          <w:rFonts w:hint="eastAsia" w:ascii="宋体" w:hAnsi="宋体" w:eastAsia="宋体" w:cs="Times New Roman"/>
          <w:bCs/>
          <w:color w:val="000000"/>
          <w:kern w:val="0"/>
          <w:sz w:val="24"/>
          <w:szCs w:val="21"/>
        </w:rPr>
        <w:t>含</w:t>
      </w:r>
      <w:r>
        <w:rPr>
          <w:rFonts w:hint="default" w:ascii="宋体" w:hAnsi="宋体" w:eastAsia="宋体" w:cs="Times New Roman"/>
          <w:bCs/>
          <w:color w:val="000000"/>
          <w:kern w:val="0"/>
          <w:sz w:val="24"/>
          <w:szCs w:val="21"/>
        </w:rPr>
        <w:t>两个）</w:t>
      </w:r>
      <w:r>
        <w:rPr>
          <w:rFonts w:hint="eastAsia" w:ascii="宋体" w:hAnsi="宋体" w:eastAsia="宋体" w:cs="Times New Roman"/>
          <w:bCs/>
          <w:color w:val="000000"/>
          <w:kern w:val="0"/>
          <w:sz w:val="24"/>
          <w:szCs w:val="21"/>
        </w:rPr>
        <w:t>以上不同的</w:t>
      </w:r>
      <w:r>
        <w:rPr>
          <w:rFonts w:hint="default" w:ascii="宋体" w:hAnsi="宋体" w:eastAsia="宋体" w:cs="Times New Roman"/>
          <w:bCs/>
          <w:color w:val="000000"/>
          <w:kern w:val="0"/>
          <w:sz w:val="24"/>
          <w:szCs w:val="21"/>
        </w:rPr>
        <w:t>投标报价的。</w:t>
      </w:r>
    </w:p>
    <w:p w14:paraId="29B2FFD5">
      <w:pPr>
        <w:pageBreakBefore w:val="0"/>
        <w:spacing w:line="500" w:lineRule="exact"/>
        <w:ind w:left="478"/>
        <w:rPr>
          <w:rFonts w:hint="eastAsia" w:ascii="宋体" w:hAnsi="宋体" w:eastAsia="宋体" w:cs="Times New Roman"/>
          <w:bCs/>
          <w:color w:val="000000"/>
          <w:kern w:val="0"/>
          <w:sz w:val="24"/>
          <w:szCs w:val="21"/>
        </w:rPr>
      </w:pPr>
      <w:r>
        <w:rPr>
          <w:rFonts w:hint="eastAsia" w:ascii="宋体" w:hAnsi="宋体" w:eastAsia="宋体" w:cs="Times New Roman"/>
          <w:bCs/>
          <w:color w:val="000000"/>
          <w:kern w:val="0"/>
          <w:sz w:val="24"/>
          <w:szCs w:val="21"/>
        </w:rPr>
        <w:t>2</w:t>
      </w:r>
      <w:r>
        <w:rPr>
          <w:rFonts w:hint="default" w:ascii="宋体" w:hAnsi="宋体" w:eastAsia="宋体" w:cs="Times New Roman"/>
          <w:bCs/>
          <w:color w:val="000000"/>
          <w:kern w:val="0"/>
          <w:sz w:val="24"/>
          <w:szCs w:val="21"/>
        </w:rPr>
        <w:t>7</w:t>
      </w:r>
      <w:r>
        <w:rPr>
          <w:rFonts w:hint="eastAsia" w:ascii="宋体" w:hAnsi="宋体" w:eastAsia="宋体" w:cs="Times New Roman"/>
          <w:bCs/>
          <w:color w:val="000000"/>
          <w:kern w:val="0"/>
          <w:sz w:val="24"/>
          <w:szCs w:val="21"/>
        </w:rPr>
        <w:t>.1.</w:t>
      </w:r>
      <w:r>
        <w:rPr>
          <w:rFonts w:hint="default" w:ascii="宋体" w:hAnsi="宋体" w:eastAsia="宋体" w:cs="Times New Roman"/>
          <w:bCs/>
          <w:color w:val="000000"/>
          <w:kern w:val="0"/>
          <w:sz w:val="24"/>
          <w:szCs w:val="21"/>
        </w:rPr>
        <w:t>4</w:t>
      </w:r>
      <w:r>
        <w:rPr>
          <w:rFonts w:hint="eastAsia" w:ascii="宋体" w:hAnsi="宋体" w:eastAsia="宋体" w:cs="Times New Roman"/>
          <w:bCs/>
          <w:color w:val="000000"/>
          <w:kern w:val="0"/>
          <w:sz w:val="24"/>
          <w:szCs w:val="21"/>
          <w:lang w:eastAsia="zh-CN"/>
        </w:rPr>
        <w:t>投标人</w:t>
      </w:r>
      <w:r>
        <w:rPr>
          <w:rFonts w:hint="eastAsia" w:ascii="宋体" w:hAnsi="宋体" w:eastAsia="宋体" w:cs="Times New Roman"/>
          <w:bCs/>
          <w:color w:val="000000"/>
          <w:kern w:val="0"/>
          <w:sz w:val="24"/>
          <w:szCs w:val="21"/>
        </w:rPr>
        <w:t>不具备</w:t>
      </w:r>
      <w:r>
        <w:rPr>
          <w:rFonts w:hint="eastAsia" w:ascii="宋体" w:hAnsi="宋体" w:eastAsia="宋体" w:cs="Times New Roman"/>
          <w:bCs/>
          <w:color w:val="000000"/>
          <w:kern w:val="0"/>
          <w:sz w:val="24"/>
          <w:szCs w:val="21"/>
          <w:lang w:eastAsia="zh-CN"/>
        </w:rPr>
        <w:t>招标文件</w:t>
      </w:r>
      <w:r>
        <w:rPr>
          <w:rFonts w:hint="eastAsia" w:ascii="宋体" w:hAnsi="宋体" w:eastAsia="宋体" w:cs="Times New Roman"/>
          <w:bCs/>
          <w:color w:val="000000"/>
          <w:kern w:val="0"/>
          <w:sz w:val="24"/>
          <w:szCs w:val="21"/>
        </w:rPr>
        <w:t>中规定资格要求的。</w:t>
      </w:r>
    </w:p>
    <w:p w14:paraId="020CBE29">
      <w:pPr>
        <w:pageBreakBefore w:val="0"/>
        <w:spacing w:line="500" w:lineRule="exact"/>
        <w:ind w:firstLine="480"/>
        <w:rPr>
          <w:rFonts w:hint="eastAsia" w:ascii="宋体" w:hAnsi="宋体" w:eastAsia="宋体" w:cs="Times New Roman"/>
          <w:bCs/>
          <w:color w:val="000000"/>
          <w:kern w:val="0"/>
          <w:sz w:val="24"/>
          <w:szCs w:val="21"/>
        </w:rPr>
      </w:pPr>
      <w:r>
        <w:rPr>
          <w:rFonts w:hint="eastAsia" w:ascii="宋体" w:hAnsi="宋体" w:eastAsia="宋体" w:cs="Times New Roman"/>
          <w:bCs/>
          <w:color w:val="000000"/>
          <w:kern w:val="0"/>
          <w:sz w:val="24"/>
          <w:szCs w:val="21"/>
        </w:rPr>
        <w:t>2</w:t>
      </w:r>
      <w:r>
        <w:rPr>
          <w:rFonts w:hint="default" w:ascii="宋体" w:hAnsi="宋体" w:eastAsia="宋体" w:cs="Times New Roman"/>
          <w:bCs/>
          <w:color w:val="000000"/>
          <w:kern w:val="0"/>
          <w:sz w:val="24"/>
          <w:szCs w:val="21"/>
        </w:rPr>
        <w:t>7</w:t>
      </w:r>
      <w:r>
        <w:rPr>
          <w:rFonts w:hint="eastAsia" w:ascii="宋体" w:hAnsi="宋体" w:eastAsia="宋体" w:cs="Times New Roman"/>
          <w:bCs/>
          <w:color w:val="000000"/>
          <w:kern w:val="0"/>
          <w:sz w:val="24"/>
          <w:szCs w:val="21"/>
        </w:rPr>
        <w:t>.1.</w:t>
      </w:r>
      <w:r>
        <w:rPr>
          <w:rFonts w:hint="default" w:ascii="宋体" w:hAnsi="宋体" w:eastAsia="宋体" w:cs="Times New Roman"/>
          <w:bCs/>
          <w:color w:val="000000"/>
          <w:kern w:val="0"/>
          <w:sz w:val="24"/>
          <w:szCs w:val="21"/>
        </w:rPr>
        <w:t>5</w:t>
      </w:r>
      <w:r>
        <w:rPr>
          <w:rFonts w:hint="eastAsia" w:ascii="宋体" w:hAnsi="宋体" w:eastAsia="宋体" w:cs="Times New Roman"/>
          <w:bCs/>
          <w:color w:val="000000"/>
          <w:kern w:val="0"/>
          <w:sz w:val="24"/>
          <w:szCs w:val="21"/>
          <w:lang w:eastAsia="zh-CN"/>
        </w:rPr>
        <w:t>投标人</w:t>
      </w:r>
      <w:r>
        <w:rPr>
          <w:rFonts w:hint="eastAsia" w:ascii="宋体" w:hAnsi="宋体" w:eastAsia="宋体" w:cs="Times New Roman"/>
          <w:bCs/>
          <w:color w:val="000000"/>
          <w:kern w:val="0"/>
          <w:sz w:val="24"/>
          <w:szCs w:val="21"/>
        </w:rPr>
        <w:t>的报价超过了采购预算或最高限价的。</w:t>
      </w:r>
    </w:p>
    <w:p w14:paraId="5157B0E0">
      <w:pPr>
        <w:pageBreakBefore w:val="0"/>
        <w:spacing w:line="500" w:lineRule="exact"/>
        <w:ind w:firstLine="480"/>
        <w:rPr>
          <w:rFonts w:hint="eastAsia" w:ascii="宋体" w:hAnsi="宋体" w:eastAsia="宋体" w:cs="Times New Roman"/>
          <w:bCs/>
          <w:i/>
          <w:color w:val="000000"/>
          <w:kern w:val="0"/>
          <w:sz w:val="24"/>
          <w:szCs w:val="21"/>
          <w:u w:val="single"/>
        </w:rPr>
      </w:pPr>
      <w:r>
        <w:rPr>
          <w:rFonts w:hint="eastAsia" w:ascii="宋体" w:hAnsi="宋体" w:eastAsia="宋体" w:cs="Times New Roman"/>
          <w:bCs/>
          <w:color w:val="000000"/>
          <w:kern w:val="0"/>
          <w:sz w:val="24"/>
          <w:szCs w:val="21"/>
        </w:rPr>
        <w:t>2</w:t>
      </w:r>
      <w:r>
        <w:rPr>
          <w:rFonts w:hint="default" w:ascii="宋体" w:hAnsi="宋体" w:eastAsia="宋体" w:cs="Times New Roman"/>
          <w:bCs/>
          <w:color w:val="000000"/>
          <w:kern w:val="0"/>
          <w:sz w:val="24"/>
          <w:szCs w:val="21"/>
        </w:rPr>
        <w:t>7</w:t>
      </w:r>
      <w:r>
        <w:rPr>
          <w:rFonts w:hint="eastAsia" w:ascii="宋体" w:hAnsi="宋体" w:eastAsia="宋体" w:cs="Times New Roman"/>
          <w:bCs/>
          <w:color w:val="000000"/>
          <w:kern w:val="0"/>
          <w:sz w:val="24"/>
          <w:szCs w:val="21"/>
        </w:rPr>
        <w:t>.1.</w:t>
      </w:r>
      <w:r>
        <w:rPr>
          <w:rFonts w:hint="default" w:ascii="宋体" w:hAnsi="宋体" w:eastAsia="宋体" w:cs="Times New Roman"/>
          <w:bCs/>
          <w:color w:val="000000"/>
          <w:kern w:val="0"/>
          <w:sz w:val="24"/>
          <w:szCs w:val="21"/>
        </w:rPr>
        <w:t>6</w:t>
      </w:r>
      <w:r>
        <w:rPr>
          <w:rFonts w:hint="eastAsia" w:ascii="宋体" w:hAnsi="宋体" w:eastAsia="宋体" w:cs="Times New Roman"/>
          <w:bCs/>
          <w:color w:val="000000"/>
          <w:kern w:val="0"/>
          <w:sz w:val="24"/>
          <w:szCs w:val="21"/>
        </w:rPr>
        <w:t>未通过符合性审查的。</w:t>
      </w:r>
    </w:p>
    <w:p w14:paraId="7429F683">
      <w:pPr>
        <w:pageBreakBefore w:val="0"/>
        <w:spacing w:line="500" w:lineRule="exact"/>
        <w:ind w:firstLine="480"/>
        <w:rPr>
          <w:rFonts w:hint="eastAsia" w:ascii="宋体" w:hAnsi="宋体" w:eastAsia="宋体" w:cs="Times New Roman"/>
          <w:bCs/>
          <w:i/>
          <w:color w:val="000000"/>
          <w:kern w:val="0"/>
          <w:sz w:val="24"/>
          <w:szCs w:val="21"/>
          <w:u w:val="single"/>
        </w:rPr>
      </w:pPr>
      <w:r>
        <w:rPr>
          <w:rFonts w:hint="eastAsia" w:ascii="宋体" w:hAnsi="宋体" w:eastAsia="宋体" w:cs="Times New Roman"/>
          <w:bCs/>
          <w:color w:val="000000"/>
          <w:kern w:val="0"/>
          <w:sz w:val="24"/>
          <w:szCs w:val="21"/>
        </w:rPr>
        <w:t>2</w:t>
      </w:r>
      <w:r>
        <w:rPr>
          <w:rFonts w:hint="default" w:ascii="宋体" w:hAnsi="宋体" w:eastAsia="宋体" w:cs="Times New Roman"/>
          <w:bCs/>
          <w:color w:val="000000"/>
          <w:kern w:val="0"/>
          <w:sz w:val="24"/>
          <w:szCs w:val="21"/>
        </w:rPr>
        <w:t>7</w:t>
      </w:r>
      <w:r>
        <w:rPr>
          <w:rFonts w:hint="eastAsia" w:ascii="宋体" w:hAnsi="宋体" w:eastAsia="宋体" w:cs="Times New Roman"/>
          <w:bCs/>
          <w:color w:val="000000"/>
          <w:kern w:val="0"/>
          <w:sz w:val="24"/>
          <w:szCs w:val="21"/>
        </w:rPr>
        <w:t>.1.</w:t>
      </w:r>
      <w:r>
        <w:rPr>
          <w:rFonts w:hint="default" w:ascii="宋体" w:hAnsi="宋体" w:eastAsia="宋体" w:cs="Times New Roman"/>
          <w:bCs/>
          <w:color w:val="000000"/>
          <w:kern w:val="0"/>
          <w:sz w:val="24"/>
          <w:szCs w:val="21"/>
        </w:rPr>
        <w:t>7</w:t>
      </w:r>
      <w:r>
        <w:rPr>
          <w:rFonts w:hint="eastAsia" w:ascii="宋体" w:hAnsi="宋体" w:eastAsia="宋体" w:cs="Times New Roman"/>
          <w:bCs/>
          <w:color w:val="000000"/>
          <w:kern w:val="0"/>
          <w:sz w:val="24"/>
          <w:szCs w:val="21"/>
        </w:rPr>
        <w:t>不符合</w:t>
      </w:r>
      <w:r>
        <w:rPr>
          <w:rFonts w:hint="eastAsia" w:ascii="宋体" w:hAnsi="宋体" w:eastAsia="宋体" w:cs="Times New Roman"/>
          <w:bCs/>
          <w:color w:val="000000"/>
          <w:kern w:val="0"/>
          <w:sz w:val="24"/>
          <w:szCs w:val="21"/>
          <w:lang w:eastAsia="zh-CN"/>
        </w:rPr>
        <w:t>招标文件</w:t>
      </w:r>
      <w:r>
        <w:rPr>
          <w:rFonts w:hint="eastAsia" w:ascii="宋体" w:hAnsi="宋体" w:eastAsia="宋体" w:cs="Times New Roman"/>
          <w:bCs/>
          <w:color w:val="000000"/>
          <w:kern w:val="0"/>
          <w:sz w:val="24"/>
          <w:szCs w:val="21"/>
        </w:rPr>
        <w:t>中规定的实质性要求和条件的（</w:t>
      </w:r>
      <w:r>
        <w:rPr>
          <w:rFonts w:hint="eastAsia" w:ascii="宋体" w:hAnsi="宋体" w:eastAsia="宋体" w:cs="Times New Roman"/>
          <w:b/>
          <w:bCs w:val="0"/>
          <w:color w:val="000000"/>
          <w:kern w:val="0"/>
          <w:sz w:val="24"/>
          <w:szCs w:val="21"/>
          <w:u w:val="single"/>
        </w:rPr>
        <w:t>本</w:t>
      </w:r>
      <w:r>
        <w:rPr>
          <w:rFonts w:hint="eastAsia" w:ascii="宋体" w:hAnsi="宋体" w:eastAsia="宋体" w:cs="Times New Roman"/>
          <w:b/>
          <w:bCs w:val="0"/>
          <w:color w:val="000000"/>
          <w:kern w:val="0"/>
          <w:sz w:val="24"/>
          <w:szCs w:val="21"/>
          <w:u w:val="single"/>
          <w:lang w:eastAsia="zh-CN"/>
        </w:rPr>
        <w:t>招标文件</w:t>
      </w:r>
      <w:r>
        <w:rPr>
          <w:rFonts w:hint="eastAsia" w:ascii="宋体" w:hAnsi="宋体" w:eastAsia="宋体" w:cs="Times New Roman"/>
          <w:b/>
          <w:bCs w:val="0"/>
          <w:color w:val="000000"/>
          <w:kern w:val="0"/>
          <w:sz w:val="24"/>
          <w:szCs w:val="21"/>
          <w:u w:val="single"/>
        </w:rPr>
        <w:t>中</w:t>
      </w:r>
      <w:r>
        <w:rPr>
          <w:rFonts w:hint="eastAsia" w:ascii="宋体" w:hAnsi="宋体" w:eastAsia="宋体" w:cs="Times New Roman"/>
          <w:b/>
          <w:bCs w:val="0"/>
          <w:color w:val="000000"/>
          <w:kern w:val="0"/>
          <w:sz w:val="24"/>
          <w:szCs w:val="21"/>
          <w:u w:val="single"/>
          <w:lang w:eastAsia="zh-CN"/>
        </w:rPr>
        <w:t>标★</w:t>
      </w:r>
      <w:r>
        <w:rPr>
          <w:rFonts w:hint="eastAsia" w:ascii="宋体" w:hAnsi="宋体" w:eastAsia="宋体" w:cs="Times New Roman"/>
          <w:b/>
          <w:bCs w:val="0"/>
          <w:color w:val="000000"/>
          <w:kern w:val="0"/>
          <w:sz w:val="24"/>
          <w:szCs w:val="21"/>
          <w:u w:val="single"/>
        </w:rPr>
        <w:t>为实质性要求和条件</w:t>
      </w:r>
      <w:r>
        <w:rPr>
          <w:rFonts w:hint="eastAsia" w:ascii="宋体" w:hAnsi="宋体" w:eastAsia="宋体" w:cs="Times New Roman"/>
          <w:bCs/>
          <w:color w:val="000000"/>
          <w:kern w:val="0"/>
          <w:sz w:val="24"/>
          <w:szCs w:val="21"/>
        </w:rPr>
        <w:t>）。</w:t>
      </w:r>
    </w:p>
    <w:p w14:paraId="4D81F4F2">
      <w:pPr>
        <w:pageBreakBefore w:val="0"/>
        <w:spacing w:line="500" w:lineRule="exact"/>
        <w:ind w:firstLine="480"/>
        <w:rPr>
          <w:rFonts w:hint="eastAsia" w:ascii="宋体" w:hAnsi="宋体" w:eastAsia="宋体" w:cs="Times New Roman"/>
          <w:bCs/>
          <w:color w:val="000000"/>
          <w:kern w:val="0"/>
          <w:sz w:val="24"/>
          <w:szCs w:val="21"/>
        </w:rPr>
      </w:pPr>
      <w:r>
        <w:rPr>
          <w:rFonts w:hint="eastAsia" w:ascii="宋体" w:hAnsi="宋体" w:eastAsia="宋体" w:cs="Times New Roman"/>
          <w:bCs/>
          <w:color w:val="000000"/>
          <w:kern w:val="0"/>
          <w:sz w:val="24"/>
          <w:szCs w:val="21"/>
        </w:rPr>
        <w:t>2</w:t>
      </w:r>
      <w:r>
        <w:rPr>
          <w:rFonts w:hint="default" w:ascii="宋体" w:hAnsi="宋体" w:eastAsia="宋体" w:cs="Times New Roman"/>
          <w:bCs/>
          <w:color w:val="000000"/>
          <w:kern w:val="0"/>
          <w:sz w:val="24"/>
          <w:szCs w:val="21"/>
        </w:rPr>
        <w:t>7</w:t>
      </w:r>
      <w:r>
        <w:rPr>
          <w:rFonts w:hint="eastAsia" w:ascii="宋体" w:hAnsi="宋体" w:eastAsia="宋体" w:cs="Times New Roman"/>
          <w:bCs/>
          <w:color w:val="000000"/>
          <w:kern w:val="0"/>
          <w:sz w:val="24"/>
          <w:szCs w:val="21"/>
        </w:rPr>
        <w:t>.1.</w:t>
      </w:r>
      <w:r>
        <w:rPr>
          <w:rFonts w:hint="default" w:ascii="宋体" w:hAnsi="宋体" w:eastAsia="宋体" w:cs="Times New Roman"/>
          <w:bCs/>
          <w:color w:val="000000"/>
          <w:kern w:val="0"/>
          <w:sz w:val="24"/>
          <w:szCs w:val="21"/>
        </w:rPr>
        <w:t>8</w:t>
      </w:r>
      <w:r>
        <w:rPr>
          <w:rFonts w:hint="eastAsia" w:ascii="宋体" w:hAnsi="宋体" w:eastAsia="宋体" w:cs="Times New Roman"/>
          <w:bCs/>
          <w:color w:val="000000"/>
          <w:kern w:val="0"/>
          <w:sz w:val="24"/>
          <w:szCs w:val="21"/>
          <w:lang w:eastAsia="zh-CN"/>
        </w:rPr>
        <w:t>投标人</w:t>
      </w:r>
      <w:r>
        <w:rPr>
          <w:rFonts w:hint="eastAsia" w:ascii="宋体" w:hAnsi="宋体" w:eastAsia="宋体" w:cs="Times New Roman"/>
          <w:bCs/>
          <w:color w:val="000000"/>
          <w:kern w:val="0"/>
          <w:sz w:val="24"/>
          <w:szCs w:val="21"/>
        </w:rPr>
        <w:t>被</w:t>
      </w:r>
      <w:r>
        <w:rPr>
          <w:rFonts w:hint="eastAsia" w:ascii="宋体" w:hAnsi="宋体" w:eastAsia="宋体" w:cs="Times New Roman"/>
          <w:kern w:val="0"/>
          <w:sz w:val="24"/>
          <w:szCs w:val="24"/>
        </w:rPr>
        <w:t>信用中国网站（www.creditchina.gov.cn）、中国政府采购网（www.ccgp.gov.cn）</w:t>
      </w:r>
      <w:r>
        <w:rPr>
          <w:rFonts w:hint="eastAsia" w:ascii="宋体" w:hAnsi="宋体" w:eastAsia="宋体" w:cs="Times New Roman"/>
          <w:bCs/>
          <w:color w:val="000000"/>
          <w:kern w:val="0"/>
          <w:sz w:val="24"/>
          <w:szCs w:val="21"/>
        </w:rPr>
        <w:t>列入失信被执行人或重大税收违法案件当事人名单或政府采购严重失信行为记录名单。或查询信用中国</w:t>
      </w:r>
      <w:r>
        <w:rPr>
          <w:rFonts w:hint="eastAsia" w:ascii="宋体" w:hAnsi="宋体" w:eastAsia="宋体" w:cs="Times New Roman"/>
          <w:bCs/>
          <w:color w:val="000000"/>
          <w:kern w:val="0"/>
          <w:sz w:val="24"/>
          <w:szCs w:val="21"/>
          <w:lang w:eastAsia="zh-CN"/>
        </w:rPr>
        <w:t>、</w:t>
      </w:r>
      <w:r>
        <w:rPr>
          <w:rFonts w:hint="eastAsia" w:ascii="宋体" w:hAnsi="宋体" w:eastAsia="宋体" w:cs="Times New Roman"/>
          <w:kern w:val="0"/>
          <w:sz w:val="24"/>
          <w:szCs w:val="24"/>
        </w:rPr>
        <w:t>中国政府采购网</w:t>
      </w:r>
      <w:r>
        <w:rPr>
          <w:rFonts w:hint="eastAsia" w:ascii="宋体" w:hAnsi="宋体" w:eastAsia="宋体" w:cs="Times New Roman"/>
          <w:bCs/>
          <w:color w:val="000000"/>
          <w:kern w:val="0"/>
          <w:sz w:val="24"/>
          <w:szCs w:val="21"/>
        </w:rPr>
        <w:t>网站后发现</w:t>
      </w:r>
      <w:r>
        <w:rPr>
          <w:rFonts w:hint="eastAsia" w:ascii="宋体" w:hAnsi="宋体" w:eastAsia="宋体" w:cs="Times New Roman"/>
          <w:bCs/>
          <w:color w:val="000000"/>
          <w:kern w:val="0"/>
          <w:sz w:val="24"/>
          <w:szCs w:val="21"/>
          <w:lang w:eastAsia="zh-CN"/>
        </w:rPr>
        <w:t>投标人</w:t>
      </w:r>
      <w:r>
        <w:rPr>
          <w:rFonts w:hint="eastAsia" w:ascii="宋体" w:hAnsi="宋体" w:eastAsia="宋体" w:cs="Times New Roman"/>
          <w:bCs/>
          <w:color w:val="000000"/>
          <w:kern w:val="0"/>
          <w:sz w:val="24"/>
          <w:szCs w:val="21"/>
        </w:rPr>
        <w:t>存在其他不符合《中华人民共和国政府采购法》第二十二条规定条件的信用记录。</w:t>
      </w:r>
    </w:p>
    <w:p w14:paraId="503F1833">
      <w:pPr>
        <w:pageBreakBefore w:val="0"/>
        <w:spacing w:line="500" w:lineRule="exact"/>
        <w:ind w:firstLine="480"/>
        <w:rPr>
          <w:rFonts w:hint="eastAsia" w:ascii="宋体" w:hAnsi="宋体" w:eastAsia="宋体" w:cs="Times New Roman"/>
          <w:bCs/>
          <w:color w:val="000000"/>
          <w:kern w:val="0"/>
          <w:sz w:val="24"/>
          <w:szCs w:val="21"/>
        </w:rPr>
      </w:pPr>
      <w:r>
        <w:rPr>
          <w:rFonts w:hint="eastAsia" w:ascii="宋体" w:hAnsi="宋体" w:eastAsia="宋体" w:cs="Times New Roman"/>
          <w:bCs/>
          <w:color w:val="000000"/>
          <w:kern w:val="0"/>
          <w:sz w:val="24"/>
          <w:szCs w:val="21"/>
        </w:rPr>
        <w:t>2</w:t>
      </w:r>
      <w:r>
        <w:rPr>
          <w:rFonts w:hint="default" w:ascii="宋体" w:hAnsi="宋体" w:eastAsia="宋体" w:cs="Times New Roman"/>
          <w:bCs/>
          <w:color w:val="000000"/>
          <w:kern w:val="0"/>
          <w:sz w:val="24"/>
          <w:szCs w:val="21"/>
        </w:rPr>
        <w:t>7</w:t>
      </w:r>
      <w:r>
        <w:rPr>
          <w:rFonts w:hint="eastAsia" w:ascii="宋体" w:hAnsi="宋体" w:eastAsia="宋体" w:cs="Times New Roman"/>
          <w:bCs/>
          <w:color w:val="000000"/>
          <w:kern w:val="0"/>
          <w:sz w:val="24"/>
          <w:szCs w:val="21"/>
        </w:rPr>
        <w:t>.1.</w:t>
      </w:r>
      <w:r>
        <w:rPr>
          <w:rFonts w:hint="default" w:ascii="宋体" w:hAnsi="宋体" w:eastAsia="宋体" w:cs="Times New Roman"/>
          <w:bCs/>
          <w:color w:val="000000"/>
          <w:kern w:val="0"/>
          <w:sz w:val="24"/>
          <w:szCs w:val="21"/>
        </w:rPr>
        <w:t>9</w:t>
      </w:r>
      <w:r>
        <w:rPr>
          <w:rFonts w:hint="eastAsia" w:ascii="宋体" w:hAnsi="宋体" w:eastAsia="宋体" w:cs="Times New Roman"/>
          <w:bCs/>
          <w:color w:val="000000"/>
          <w:kern w:val="0"/>
          <w:sz w:val="24"/>
          <w:szCs w:val="21"/>
        </w:rPr>
        <w:t>投标文件含有采购人不能接受的附加条件的。</w:t>
      </w:r>
    </w:p>
    <w:p w14:paraId="72D0F0E3">
      <w:pPr>
        <w:pageBreakBefore w:val="0"/>
        <w:spacing w:line="500" w:lineRule="exact"/>
        <w:ind w:firstLine="480"/>
        <w:rPr>
          <w:rFonts w:hint="eastAsia" w:ascii="宋体" w:hAnsi="宋体" w:eastAsia="宋体" w:cs="Times New Roman"/>
          <w:bCs/>
          <w:color w:val="000000"/>
          <w:kern w:val="0"/>
          <w:sz w:val="24"/>
          <w:szCs w:val="21"/>
        </w:rPr>
      </w:pPr>
      <w:r>
        <w:rPr>
          <w:rFonts w:hint="eastAsia" w:ascii="宋体" w:hAnsi="宋体" w:eastAsia="宋体" w:cs="Times New Roman"/>
          <w:bCs/>
          <w:color w:val="000000"/>
          <w:kern w:val="0"/>
          <w:sz w:val="24"/>
          <w:szCs w:val="21"/>
        </w:rPr>
        <w:t>2</w:t>
      </w:r>
      <w:r>
        <w:rPr>
          <w:rFonts w:hint="default" w:ascii="宋体" w:hAnsi="宋体" w:eastAsia="宋体" w:cs="Times New Roman"/>
          <w:bCs/>
          <w:color w:val="000000"/>
          <w:kern w:val="0"/>
          <w:sz w:val="24"/>
          <w:szCs w:val="21"/>
        </w:rPr>
        <w:t>7</w:t>
      </w:r>
      <w:r>
        <w:rPr>
          <w:rFonts w:hint="eastAsia" w:ascii="宋体" w:hAnsi="宋体" w:eastAsia="宋体" w:cs="Times New Roman"/>
          <w:bCs/>
          <w:color w:val="000000"/>
          <w:kern w:val="0"/>
          <w:sz w:val="24"/>
          <w:szCs w:val="21"/>
        </w:rPr>
        <w:t>.1.</w:t>
      </w:r>
      <w:r>
        <w:rPr>
          <w:rFonts w:hint="default" w:ascii="宋体" w:hAnsi="宋体" w:eastAsia="宋体" w:cs="Times New Roman"/>
          <w:bCs/>
          <w:color w:val="000000"/>
          <w:kern w:val="0"/>
          <w:sz w:val="24"/>
          <w:szCs w:val="21"/>
        </w:rPr>
        <w:t>10</w:t>
      </w:r>
      <w:r>
        <w:rPr>
          <w:rFonts w:hint="eastAsia" w:ascii="宋体" w:hAnsi="宋体" w:eastAsia="宋体" w:cs="Times New Roman"/>
          <w:bCs/>
          <w:color w:val="000000"/>
          <w:kern w:val="0"/>
          <w:sz w:val="24"/>
          <w:szCs w:val="21"/>
        </w:rPr>
        <w:t>评标委员会认为</w:t>
      </w:r>
      <w:r>
        <w:rPr>
          <w:rFonts w:hint="eastAsia" w:ascii="宋体" w:hAnsi="宋体" w:eastAsia="宋体" w:cs="Times New Roman"/>
          <w:bCs/>
          <w:color w:val="000000"/>
          <w:kern w:val="0"/>
          <w:sz w:val="24"/>
          <w:szCs w:val="21"/>
          <w:lang w:eastAsia="zh-CN"/>
        </w:rPr>
        <w:t>投标人</w:t>
      </w:r>
      <w:r>
        <w:rPr>
          <w:rFonts w:hint="eastAsia" w:ascii="宋体" w:hAnsi="宋体" w:eastAsia="宋体" w:cs="Times New Roman"/>
          <w:bCs/>
          <w:color w:val="000000"/>
          <w:kern w:val="0"/>
          <w:sz w:val="24"/>
          <w:szCs w:val="21"/>
        </w:rPr>
        <w:t>的报价明显低于其他通过符合性审查</w:t>
      </w:r>
      <w:r>
        <w:rPr>
          <w:rFonts w:hint="eastAsia" w:ascii="宋体" w:hAnsi="宋体" w:eastAsia="宋体" w:cs="Times New Roman"/>
          <w:bCs/>
          <w:color w:val="000000"/>
          <w:kern w:val="0"/>
          <w:sz w:val="24"/>
          <w:szCs w:val="21"/>
          <w:lang w:eastAsia="zh-CN"/>
        </w:rPr>
        <w:t>投标人</w:t>
      </w:r>
      <w:r>
        <w:rPr>
          <w:rFonts w:hint="eastAsia" w:ascii="宋体" w:hAnsi="宋体" w:eastAsia="宋体" w:cs="Times New Roman"/>
          <w:bCs/>
          <w:color w:val="000000"/>
          <w:kern w:val="0"/>
          <w:sz w:val="24"/>
          <w:szCs w:val="21"/>
        </w:rPr>
        <w:t>的报价，有可能影响产品质量或者不能诚信履约的，将通过</w:t>
      </w:r>
      <w:r>
        <w:rPr>
          <w:rFonts w:hint="eastAsia" w:ascii="宋体" w:hAnsi="宋体" w:eastAsia="宋体" w:cs="Times New Roman"/>
          <w:color w:val="000000"/>
          <w:kern w:val="0"/>
          <w:sz w:val="24"/>
          <w:szCs w:val="24"/>
        </w:rPr>
        <w:t>苏采云系统</w:t>
      </w:r>
      <w:r>
        <w:rPr>
          <w:rFonts w:hint="eastAsia" w:ascii="宋体" w:hAnsi="宋体" w:eastAsia="宋体" w:cs="Times New Roman"/>
          <w:bCs/>
          <w:color w:val="000000"/>
          <w:kern w:val="0"/>
          <w:sz w:val="24"/>
          <w:szCs w:val="21"/>
        </w:rPr>
        <w:t>要求其在</w:t>
      </w:r>
      <w:r>
        <w:rPr>
          <w:rFonts w:hint="eastAsia" w:ascii="宋体" w:hAnsi="宋体" w:eastAsia="宋体" w:cs="Times New Roman"/>
          <w:bCs/>
          <w:color w:val="000000"/>
          <w:kern w:val="0"/>
          <w:sz w:val="24"/>
          <w:szCs w:val="21"/>
          <w:lang w:val="en-US" w:eastAsia="zh-CN"/>
        </w:rPr>
        <w:t>20分钟</w:t>
      </w:r>
      <w:r>
        <w:rPr>
          <w:rFonts w:hint="eastAsia" w:ascii="宋体" w:hAnsi="宋体" w:eastAsia="宋体" w:cs="Times New Roman"/>
          <w:bCs/>
          <w:color w:val="000000"/>
          <w:kern w:val="0"/>
          <w:sz w:val="24"/>
          <w:szCs w:val="21"/>
        </w:rPr>
        <w:t>内提供说明，</w:t>
      </w:r>
      <w:r>
        <w:rPr>
          <w:rFonts w:hint="eastAsia" w:ascii="宋体" w:hAnsi="宋体" w:eastAsia="宋体" w:cs="Times New Roman"/>
          <w:bCs/>
          <w:color w:val="000000"/>
          <w:kern w:val="0"/>
          <w:sz w:val="24"/>
          <w:szCs w:val="21"/>
          <w:lang w:eastAsia="zh-CN"/>
        </w:rPr>
        <w:t>且</w:t>
      </w:r>
      <w:r>
        <w:rPr>
          <w:rFonts w:hint="eastAsia" w:ascii="宋体" w:hAnsi="宋体" w:eastAsia="宋体" w:cs="Times New Roman"/>
          <w:bCs/>
          <w:color w:val="000000"/>
          <w:kern w:val="0"/>
          <w:sz w:val="24"/>
          <w:szCs w:val="21"/>
        </w:rPr>
        <w:t>提交相关证明材料；</w:t>
      </w:r>
      <w:r>
        <w:rPr>
          <w:rFonts w:hint="eastAsia" w:ascii="宋体" w:hAnsi="宋体" w:eastAsia="宋体" w:cs="Times New Roman"/>
          <w:bCs/>
          <w:color w:val="000000"/>
          <w:kern w:val="0"/>
          <w:sz w:val="24"/>
          <w:szCs w:val="21"/>
          <w:lang w:eastAsia="zh-CN"/>
        </w:rPr>
        <w:t>投标人</w:t>
      </w:r>
      <w:r>
        <w:rPr>
          <w:rFonts w:hint="eastAsia" w:ascii="宋体" w:hAnsi="宋体" w:eastAsia="宋体" w:cs="Times New Roman"/>
          <w:bCs/>
          <w:color w:val="000000"/>
          <w:kern w:val="0"/>
          <w:sz w:val="24"/>
          <w:szCs w:val="21"/>
        </w:rPr>
        <w:t>不能证明其报价合理性的，评标委员会应当将其作为无效投标处理。</w:t>
      </w:r>
    </w:p>
    <w:p w14:paraId="0DDFB5C6">
      <w:pPr>
        <w:pageBreakBefore w:val="0"/>
        <w:spacing w:line="500" w:lineRule="exact"/>
        <w:ind w:firstLine="480"/>
        <w:rPr>
          <w:rFonts w:hint="eastAsia" w:ascii="宋体" w:hAnsi="宋体" w:eastAsia="宋体" w:cs="Times New Roman"/>
          <w:bCs/>
          <w:color w:val="000000"/>
          <w:kern w:val="0"/>
          <w:sz w:val="24"/>
          <w:szCs w:val="21"/>
        </w:rPr>
      </w:pPr>
      <w:r>
        <w:rPr>
          <w:rFonts w:hint="eastAsia" w:ascii="宋体" w:hAnsi="宋体" w:eastAsia="宋体" w:cs="Times New Roman"/>
          <w:bCs/>
          <w:color w:val="000000"/>
          <w:kern w:val="0"/>
          <w:sz w:val="24"/>
          <w:szCs w:val="21"/>
        </w:rPr>
        <w:t>2</w:t>
      </w:r>
      <w:r>
        <w:rPr>
          <w:rFonts w:hint="default" w:ascii="宋体" w:hAnsi="宋体" w:eastAsia="宋体" w:cs="Times New Roman"/>
          <w:bCs/>
          <w:color w:val="000000"/>
          <w:kern w:val="0"/>
          <w:sz w:val="24"/>
          <w:szCs w:val="21"/>
        </w:rPr>
        <w:t>7</w:t>
      </w:r>
      <w:r>
        <w:rPr>
          <w:rFonts w:hint="eastAsia" w:ascii="宋体" w:hAnsi="宋体" w:eastAsia="宋体" w:cs="Times New Roman"/>
          <w:bCs/>
          <w:color w:val="000000"/>
          <w:kern w:val="0"/>
          <w:sz w:val="24"/>
          <w:szCs w:val="21"/>
        </w:rPr>
        <w:t>.1.1</w:t>
      </w:r>
      <w:r>
        <w:rPr>
          <w:rFonts w:hint="default" w:ascii="宋体" w:hAnsi="宋体" w:eastAsia="宋体" w:cs="Times New Roman"/>
          <w:bCs/>
          <w:color w:val="000000"/>
          <w:kern w:val="0"/>
          <w:sz w:val="24"/>
          <w:szCs w:val="21"/>
        </w:rPr>
        <w:t>1</w:t>
      </w:r>
      <w:r>
        <w:rPr>
          <w:rFonts w:hint="eastAsia" w:ascii="宋体" w:hAnsi="宋体" w:eastAsia="宋体" w:cs="Times New Roman"/>
          <w:bCs/>
          <w:color w:val="000000"/>
          <w:kern w:val="0"/>
          <w:sz w:val="24"/>
          <w:szCs w:val="21"/>
        </w:rPr>
        <w:t>本项目采购产品被财政部、国家发改委、生态环境部等列入“节能产品品目清单”、“环境标志产品品目清单”强制采购范围，而</w:t>
      </w:r>
      <w:r>
        <w:rPr>
          <w:rFonts w:hint="eastAsia" w:ascii="宋体" w:hAnsi="宋体" w:eastAsia="宋体" w:cs="Times New Roman"/>
          <w:bCs/>
          <w:color w:val="000000"/>
          <w:kern w:val="0"/>
          <w:sz w:val="24"/>
          <w:szCs w:val="21"/>
          <w:lang w:eastAsia="zh-CN"/>
        </w:rPr>
        <w:t>投标人</w:t>
      </w:r>
      <w:r>
        <w:rPr>
          <w:rFonts w:hint="eastAsia" w:ascii="宋体" w:hAnsi="宋体" w:eastAsia="宋体" w:cs="Times New Roman"/>
          <w:bCs/>
          <w:color w:val="000000"/>
          <w:kern w:val="0"/>
          <w:sz w:val="24"/>
          <w:szCs w:val="21"/>
        </w:rPr>
        <w:t>所投标产品不在强制采购范围内的。（投标产品如属于政府强制采购节能产品品目清单范围内，投标文件中必须提供国家确定的认证机构出具的、处于有效期之内的节能产品认证证书）</w:t>
      </w:r>
    </w:p>
    <w:p w14:paraId="1557DC58">
      <w:pPr>
        <w:pageBreakBefore w:val="0"/>
        <w:spacing w:line="500" w:lineRule="exact"/>
        <w:ind w:firstLine="480"/>
        <w:rPr>
          <w:rFonts w:hint="eastAsia" w:ascii="宋体" w:hAnsi="宋体" w:eastAsia="宋体" w:cs="Times New Roman"/>
          <w:bCs/>
          <w:color w:val="000000"/>
          <w:kern w:val="0"/>
          <w:sz w:val="24"/>
          <w:szCs w:val="21"/>
        </w:rPr>
      </w:pPr>
      <w:r>
        <w:rPr>
          <w:rFonts w:hint="eastAsia" w:ascii="宋体" w:hAnsi="宋体" w:eastAsia="宋体" w:cs="Times New Roman"/>
          <w:bCs/>
          <w:color w:val="000000"/>
          <w:kern w:val="0"/>
          <w:sz w:val="24"/>
          <w:szCs w:val="21"/>
        </w:rPr>
        <w:t>2</w:t>
      </w:r>
      <w:r>
        <w:rPr>
          <w:rFonts w:hint="default" w:ascii="宋体" w:hAnsi="宋体" w:eastAsia="宋体" w:cs="Times New Roman"/>
          <w:bCs/>
          <w:color w:val="000000"/>
          <w:kern w:val="0"/>
          <w:sz w:val="24"/>
          <w:szCs w:val="21"/>
        </w:rPr>
        <w:t>7</w:t>
      </w:r>
      <w:r>
        <w:rPr>
          <w:rFonts w:hint="eastAsia" w:ascii="宋体" w:hAnsi="宋体" w:eastAsia="宋体" w:cs="Times New Roman"/>
          <w:bCs/>
          <w:color w:val="000000"/>
          <w:kern w:val="0"/>
          <w:sz w:val="24"/>
          <w:szCs w:val="21"/>
        </w:rPr>
        <w:t>.1.1</w:t>
      </w:r>
      <w:r>
        <w:rPr>
          <w:rFonts w:hint="default" w:ascii="宋体" w:hAnsi="宋体" w:eastAsia="宋体" w:cs="Times New Roman"/>
          <w:bCs/>
          <w:color w:val="000000"/>
          <w:kern w:val="0"/>
          <w:sz w:val="24"/>
          <w:szCs w:val="21"/>
        </w:rPr>
        <w:t>2</w:t>
      </w:r>
      <w:r>
        <w:rPr>
          <w:rFonts w:hint="eastAsia" w:ascii="宋体" w:hAnsi="宋体" w:eastAsia="宋体" w:cs="Times New Roman"/>
          <w:bCs/>
          <w:color w:val="000000"/>
          <w:kern w:val="0"/>
          <w:sz w:val="24"/>
          <w:szCs w:val="21"/>
        </w:rPr>
        <w:t>投标文件未按照</w:t>
      </w:r>
      <w:r>
        <w:rPr>
          <w:rFonts w:hint="eastAsia" w:ascii="宋体" w:hAnsi="宋体" w:eastAsia="宋体" w:cs="Times New Roman"/>
          <w:bCs/>
          <w:color w:val="000000"/>
          <w:kern w:val="0"/>
          <w:sz w:val="24"/>
          <w:szCs w:val="21"/>
          <w:lang w:eastAsia="zh-CN"/>
        </w:rPr>
        <w:t>招标文件</w:t>
      </w:r>
      <w:r>
        <w:rPr>
          <w:rFonts w:hint="eastAsia" w:ascii="宋体" w:hAnsi="宋体" w:eastAsia="宋体" w:cs="Times New Roman"/>
          <w:bCs/>
          <w:color w:val="000000"/>
          <w:kern w:val="0"/>
          <w:sz w:val="24"/>
          <w:szCs w:val="21"/>
        </w:rPr>
        <w:t>要求加盖CA电子公章的。</w:t>
      </w:r>
    </w:p>
    <w:p w14:paraId="70A67C55">
      <w:pPr>
        <w:pageBreakBefore w:val="0"/>
        <w:spacing w:line="500" w:lineRule="exact"/>
        <w:ind w:firstLine="480"/>
        <w:rPr>
          <w:rFonts w:hint="eastAsia" w:ascii="宋体" w:hAnsi="宋体" w:eastAsia="宋体" w:cs="Times New Roman"/>
          <w:bCs/>
          <w:color w:val="000000"/>
          <w:kern w:val="0"/>
          <w:sz w:val="24"/>
          <w:szCs w:val="21"/>
        </w:rPr>
      </w:pPr>
      <w:r>
        <w:rPr>
          <w:rFonts w:hint="eastAsia" w:ascii="宋体" w:hAnsi="宋体" w:eastAsia="宋体" w:cs="Times New Roman"/>
          <w:bCs/>
          <w:color w:val="000000"/>
          <w:kern w:val="0"/>
          <w:sz w:val="24"/>
          <w:szCs w:val="21"/>
        </w:rPr>
        <w:t>2</w:t>
      </w:r>
      <w:r>
        <w:rPr>
          <w:rFonts w:hint="default" w:ascii="宋体" w:hAnsi="宋体" w:eastAsia="宋体" w:cs="Times New Roman"/>
          <w:bCs/>
          <w:color w:val="000000"/>
          <w:kern w:val="0"/>
          <w:sz w:val="24"/>
          <w:szCs w:val="21"/>
        </w:rPr>
        <w:t>7</w:t>
      </w:r>
      <w:r>
        <w:rPr>
          <w:rFonts w:hint="eastAsia" w:ascii="宋体" w:hAnsi="宋体" w:eastAsia="宋体" w:cs="Times New Roman"/>
          <w:bCs/>
          <w:color w:val="000000"/>
          <w:kern w:val="0"/>
          <w:sz w:val="24"/>
          <w:szCs w:val="21"/>
        </w:rPr>
        <w:t>.1.1</w:t>
      </w:r>
      <w:r>
        <w:rPr>
          <w:rFonts w:hint="default" w:ascii="宋体" w:hAnsi="宋体" w:eastAsia="宋体" w:cs="Times New Roman"/>
          <w:bCs/>
          <w:color w:val="000000"/>
          <w:kern w:val="0"/>
          <w:sz w:val="24"/>
          <w:szCs w:val="21"/>
        </w:rPr>
        <w:t>3</w:t>
      </w:r>
      <w:r>
        <w:rPr>
          <w:rFonts w:hint="eastAsia" w:ascii="宋体" w:hAnsi="宋体" w:eastAsia="宋体" w:cs="Times New Roman"/>
          <w:bCs/>
          <w:color w:val="000000"/>
          <w:kern w:val="0"/>
          <w:sz w:val="24"/>
          <w:szCs w:val="21"/>
        </w:rPr>
        <w:t>其他法律、法规及本</w:t>
      </w:r>
      <w:r>
        <w:rPr>
          <w:rFonts w:hint="eastAsia" w:ascii="宋体" w:hAnsi="宋体" w:eastAsia="宋体" w:cs="Times New Roman"/>
          <w:bCs/>
          <w:color w:val="000000"/>
          <w:kern w:val="0"/>
          <w:sz w:val="24"/>
          <w:szCs w:val="21"/>
          <w:lang w:eastAsia="zh-CN"/>
        </w:rPr>
        <w:t>招标文件</w:t>
      </w:r>
      <w:r>
        <w:rPr>
          <w:rFonts w:hint="eastAsia" w:ascii="宋体" w:hAnsi="宋体" w:eastAsia="宋体" w:cs="Times New Roman"/>
          <w:bCs/>
          <w:color w:val="000000"/>
          <w:kern w:val="0"/>
          <w:sz w:val="24"/>
          <w:szCs w:val="21"/>
        </w:rPr>
        <w:t>规定的属无效投标的情形。</w:t>
      </w:r>
    </w:p>
    <w:p w14:paraId="6EC2DB35">
      <w:pPr>
        <w:spacing w:line="500" w:lineRule="exact"/>
        <w:ind w:firstLine="480"/>
        <w:jc w:val="left"/>
        <w:rPr>
          <w:rFonts w:hint="default" w:ascii="Calibri" w:hAnsi="Calibri" w:eastAsia="宋体" w:cs="Times New Roman"/>
          <w:kern w:val="0"/>
          <w:sz w:val="24"/>
          <w:szCs w:val="24"/>
        </w:rPr>
      </w:pPr>
      <w:r>
        <w:rPr>
          <w:rFonts w:hint="eastAsia" w:ascii="Calibri" w:hAnsi="Calibri" w:eastAsia="宋体" w:cs="Times New Roman"/>
          <w:kern w:val="0"/>
          <w:sz w:val="24"/>
          <w:szCs w:val="24"/>
        </w:rPr>
        <w:t>27.2有下列情形之一的，视为投标人串通投标，投标无效：</w:t>
      </w:r>
    </w:p>
    <w:p w14:paraId="74B1D61A">
      <w:pPr>
        <w:spacing w:line="500" w:lineRule="exact"/>
        <w:ind w:firstLine="480"/>
        <w:jc w:val="left"/>
        <w:rPr>
          <w:rFonts w:hint="default" w:ascii="Calibri" w:hAnsi="Calibri" w:eastAsia="宋体" w:cs="Times New Roman"/>
          <w:kern w:val="0"/>
          <w:sz w:val="24"/>
          <w:szCs w:val="24"/>
        </w:rPr>
      </w:pPr>
      <w:r>
        <w:rPr>
          <w:rFonts w:hint="eastAsia" w:ascii="Calibri" w:hAnsi="Calibri" w:eastAsia="宋体" w:cs="Times New Roman"/>
          <w:kern w:val="0"/>
          <w:sz w:val="24"/>
          <w:szCs w:val="24"/>
        </w:rPr>
        <w:t>（1）不同投标人的投标文件由同一单位或者个人编制。</w:t>
      </w:r>
    </w:p>
    <w:p w14:paraId="45CF7563">
      <w:pPr>
        <w:spacing w:line="500" w:lineRule="exact"/>
        <w:ind w:firstLine="480"/>
        <w:jc w:val="left"/>
        <w:rPr>
          <w:rFonts w:hint="default" w:ascii="Calibri" w:hAnsi="Calibri" w:eastAsia="宋体" w:cs="Times New Roman"/>
          <w:kern w:val="0"/>
          <w:sz w:val="24"/>
          <w:szCs w:val="24"/>
        </w:rPr>
      </w:pPr>
      <w:r>
        <w:rPr>
          <w:rFonts w:hint="eastAsia" w:ascii="Calibri" w:hAnsi="Calibri" w:eastAsia="宋体" w:cs="Times New Roman"/>
          <w:kern w:val="0"/>
          <w:sz w:val="24"/>
          <w:szCs w:val="24"/>
        </w:rPr>
        <w:t>（2）不同投标人委托同一单位或者个人办理投标事宜。</w:t>
      </w:r>
    </w:p>
    <w:p w14:paraId="0A6BD763">
      <w:pPr>
        <w:spacing w:line="500" w:lineRule="exact"/>
        <w:ind w:firstLine="480"/>
        <w:jc w:val="left"/>
        <w:rPr>
          <w:rFonts w:hint="default" w:ascii="Calibri" w:hAnsi="Calibri" w:eastAsia="宋体" w:cs="Times New Roman"/>
          <w:kern w:val="0"/>
          <w:sz w:val="24"/>
          <w:szCs w:val="24"/>
        </w:rPr>
      </w:pPr>
      <w:r>
        <w:rPr>
          <w:rFonts w:hint="eastAsia" w:ascii="Calibri" w:hAnsi="Calibri" w:eastAsia="宋体" w:cs="Times New Roman"/>
          <w:kern w:val="0"/>
          <w:sz w:val="24"/>
          <w:szCs w:val="24"/>
        </w:rPr>
        <w:t>（3）不同投标人的投标文件载明的项目管理成员或者联系人员为同一人。</w:t>
      </w:r>
    </w:p>
    <w:p w14:paraId="5B462CC0">
      <w:pPr>
        <w:spacing w:line="500" w:lineRule="exact"/>
        <w:ind w:firstLine="480"/>
        <w:jc w:val="left"/>
        <w:rPr>
          <w:rFonts w:hint="default" w:ascii="Calibri" w:hAnsi="Calibri" w:eastAsia="宋体" w:cs="Times New Roman"/>
          <w:kern w:val="0"/>
          <w:sz w:val="24"/>
          <w:szCs w:val="24"/>
        </w:rPr>
      </w:pPr>
      <w:r>
        <w:rPr>
          <w:rFonts w:hint="eastAsia" w:ascii="Calibri" w:hAnsi="Calibri" w:eastAsia="宋体" w:cs="Times New Roman"/>
          <w:kern w:val="0"/>
          <w:sz w:val="24"/>
          <w:szCs w:val="24"/>
        </w:rPr>
        <w:t>（4）不同投标人的投标文件异常一致或者投标报价呈规律性差异。</w:t>
      </w:r>
    </w:p>
    <w:p w14:paraId="3E029538">
      <w:pPr>
        <w:spacing w:line="500" w:lineRule="exact"/>
        <w:ind w:firstLine="480"/>
        <w:jc w:val="left"/>
        <w:rPr>
          <w:rFonts w:hint="default" w:ascii="Calibri" w:hAnsi="Calibri" w:eastAsia="宋体" w:cs="Times New Roman"/>
          <w:kern w:val="0"/>
          <w:sz w:val="24"/>
          <w:szCs w:val="24"/>
        </w:rPr>
      </w:pPr>
      <w:r>
        <w:rPr>
          <w:rFonts w:hint="eastAsia" w:ascii="Calibri" w:hAnsi="Calibri" w:eastAsia="宋体" w:cs="Times New Roman"/>
          <w:kern w:val="0"/>
          <w:sz w:val="24"/>
          <w:szCs w:val="24"/>
        </w:rPr>
        <w:t>（5）不同投标人的投标文件相互混装。</w:t>
      </w:r>
    </w:p>
    <w:p w14:paraId="401A9E55">
      <w:pPr>
        <w:spacing w:line="500" w:lineRule="exact"/>
        <w:ind w:firstLine="480"/>
        <w:jc w:val="left"/>
        <w:rPr>
          <w:rFonts w:hint="default" w:ascii="Calibri" w:hAnsi="Calibri" w:eastAsia="宋体" w:cs="Times New Roman"/>
          <w:kern w:val="0"/>
          <w:sz w:val="24"/>
          <w:szCs w:val="24"/>
        </w:rPr>
      </w:pPr>
      <w:r>
        <w:rPr>
          <w:rFonts w:hint="eastAsia" w:ascii="Calibri" w:hAnsi="Calibri" w:eastAsia="宋体" w:cs="Times New Roman"/>
          <w:kern w:val="0"/>
          <w:sz w:val="24"/>
          <w:szCs w:val="24"/>
        </w:rPr>
        <w:t>27.3废标条款：</w:t>
      </w:r>
    </w:p>
    <w:p w14:paraId="2E35901C">
      <w:pPr>
        <w:spacing w:line="500" w:lineRule="exact"/>
        <w:ind w:firstLine="480"/>
        <w:jc w:val="left"/>
        <w:rPr>
          <w:rFonts w:hint="default" w:ascii="Calibri" w:hAnsi="Calibri" w:eastAsia="宋体" w:cs="Times New Roman"/>
          <w:kern w:val="0"/>
          <w:sz w:val="24"/>
          <w:szCs w:val="24"/>
        </w:rPr>
      </w:pPr>
      <w:r>
        <w:rPr>
          <w:rFonts w:hint="eastAsia" w:ascii="Calibri" w:hAnsi="Calibri" w:eastAsia="宋体" w:cs="Times New Roman"/>
          <w:kern w:val="0"/>
          <w:sz w:val="24"/>
          <w:szCs w:val="24"/>
        </w:rPr>
        <w:t>（1）因“苏采云”系统故障原因造成开标不成功的。</w:t>
      </w:r>
    </w:p>
    <w:p w14:paraId="52B66F71">
      <w:pPr>
        <w:spacing w:line="500" w:lineRule="exact"/>
        <w:ind w:firstLine="480"/>
        <w:jc w:val="left"/>
        <w:rPr>
          <w:rFonts w:hint="default" w:ascii="Calibri" w:hAnsi="Calibri" w:eastAsia="宋体" w:cs="Times New Roman"/>
          <w:kern w:val="0"/>
          <w:sz w:val="24"/>
          <w:szCs w:val="24"/>
        </w:rPr>
      </w:pPr>
      <w:r>
        <w:rPr>
          <w:rFonts w:hint="eastAsia" w:ascii="Calibri" w:hAnsi="Calibri" w:eastAsia="宋体" w:cs="Times New Roman"/>
          <w:kern w:val="0"/>
          <w:sz w:val="24"/>
          <w:szCs w:val="24"/>
        </w:rPr>
        <w:t>（2）评委会认定招标文件存在歧义、重大缺陷导致评标工作无法进行，或者招标文件内容违反国家有关强制性规定的。</w:t>
      </w:r>
    </w:p>
    <w:p w14:paraId="5DC2E55A">
      <w:pPr>
        <w:spacing w:line="500" w:lineRule="exact"/>
        <w:ind w:firstLine="480"/>
        <w:jc w:val="left"/>
        <w:rPr>
          <w:rFonts w:hint="default" w:ascii="Calibri" w:hAnsi="Calibri" w:eastAsia="宋体" w:cs="Times New Roman"/>
          <w:kern w:val="0"/>
          <w:sz w:val="24"/>
          <w:szCs w:val="24"/>
        </w:rPr>
      </w:pPr>
      <w:r>
        <w:rPr>
          <w:rFonts w:hint="eastAsia" w:ascii="Calibri" w:hAnsi="Calibri" w:eastAsia="宋体" w:cs="Times New Roman"/>
          <w:kern w:val="0"/>
          <w:sz w:val="24"/>
          <w:szCs w:val="24"/>
        </w:rPr>
        <w:t>（3）符合专业条件的供应商或者对招标文件作实质响应的供应商不足三家的。</w:t>
      </w:r>
    </w:p>
    <w:p w14:paraId="3D51617C">
      <w:pPr>
        <w:spacing w:line="500" w:lineRule="exact"/>
        <w:ind w:firstLine="480"/>
        <w:jc w:val="left"/>
        <w:rPr>
          <w:rFonts w:hint="default" w:ascii="Calibri" w:hAnsi="Calibri" w:eastAsia="宋体" w:cs="Times New Roman"/>
          <w:kern w:val="0"/>
          <w:sz w:val="24"/>
          <w:szCs w:val="24"/>
        </w:rPr>
      </w:pPr>
      <w:r>
        <w:rPr>
          <w:rFonts w:hint="eastAsia" w:ascii="Calibri" w:hAnsi="Calibri" w:eastAsia="宋体" w:cs="Times New Roman"/>
          <w:kern w:val="0"/>
          <w:sz w:val="24"/>
          <w:szCs w:val="24"/>
        </w:rPr>
        <w:t>（4）出现影响采购公正的违法、违规行为的。</w:t>
      </w:r>
    </w:p>
    <w:p w14:paraId="576D4B51">
      <w:pPr>
        <w:spacing w:line="500" w:lineRule="exact"/>
        <w:ind w:firstLine="480"/>
        <w:jc w:val="left"/>
        <w:rPr>
          <w:rFonts w:hint="default" w:ascii="Calibri" w:hAnsi="Calibri" w:eastAsia="宋体" w:cs="Times New Roman"/>
          <w:kern w:val="0"/>
          <w:sz w:val="24"/>
          <w:szCs w:val="24"/>
        </w:rPr>
      </w:pPr>
      <w:r>
        <w:rPr>
          <w:rFonts w:hint="eastAsia" w:ascii="Calibri" w:hAnsi="Calibri" w:eastAsia="宋体" w:cs="Times New Roman"/>
          <w:kern w:val="0"/>
          <w:sz w:val="24"/>
          <w:szCs w:val="24"/>
        </w:rPr>
        <w:t>（5）因重大变故，采购任务取消的。</w:t>
      </w:r>
    </w:p>
    <w:p w14:paraId="276DF74A">
      <w:pPr>
        <w:spacing w:line="500" w:lineRule="exact"/>
        <w:ind w:firstLine="480"/>
        <w:jc w:val="left"/>
        <w:rPr>
          <w:rFonts w:hint="default" w:ascii="Calibri" w:hAnsi="Calibri" w:eastAsia="宋体" w:cs="Times New Roman"/>
          <w:kern w:val="0"/>
          <w:sz w:val="24"/>
          <w:szCs w:val="24"/>
        </w:rPr>
      </w:pPr>
      <w:r>
        <w:rPr>
          <w:rFonts w:hint="eastAsia" w:ascii="Calibri" w:hAnsi="Calibri" w:eastAsia="宋体" w:cs="Times New Roman"/>
          <w:kern w:val="0"/>
          <w:sz w:val="24"/>
          <w:szCs w:val="24"/>
        </w:rPr>
        <w:t>27.4出现投标截止时间结束后参加投标的供应商或者在评标期间对招标文件做出实质响应的供应商不足三家情况的，按照政府采购有关规定执行。</w:t>
      </w:r>
    </w:p>
    <w:p w14:paraId="26061CD0">
      <w:pPr>
        <w:keepNext/>
        <w:keepLines/>
        <w:spacing w:before="145" w:after="145" w:line="360" w:lineRule="auto"/>
        <w:ind w:firstLine="482"/>
        <w:outlineLvl w:val="2"/>
        <w:rPr>
          <w:rFonts w:hint="eastAsia" w:ascii="Times New Roman" w:hAnsi="Times New Roman" w:eastAsia="宋体" w:cs="Times New Roman"/>
          <w:b/>
          <w:bCs/>
          <w:color w:val="000000"/>
          <w:sz w:val="32"/>
          <w:szCs w:val="32"/>
          <w:highlight w:val="none"/>
        </w:rPr>
      </w:pPr>
    </w:p>
    <w:p w14:paraId="36521AE0">
      <w:pPr>
        <w:keepNext/>
        <w:keepLines/>
        <w:spacing w:before="145" w:after="145" w:line="360" w:lineRule="auto"/>
        <w:ind w:firstLine="482"/>
        <w:outlineLvl w:val="2"/>
        <w:rPr>
          <w:rFonts w:ascii="Times New Roman" w:hAnsi="Times New Roman" w:eastAsia="宋体" w:cs="Times New Roman"/>
          <w:b/>
          <w:bCs/>
          <w:color w:val="000000"/>
          <w:sz w:val="32"/>
          <w:szCs w:val="32"/>
          <w:highlight w:val="none"/>
        </w:rPr>
      </w:pPr>
      <w:r>
        <w:rPr>
          <w:rFonts w:hint="eastAsia" w:ascii="Times New Roman" w:hAnsi="Times New Roman" w:eastAsia="宋体" w:cs="Times New Roman"/>
          <w:b/>
          <w:bCs/>
          <w:color w:val="000000"/>
          <w:sz w:val="32"/>
          <w:szCs w:val="32"/>
          <w:highlight w:val="none"/>
        </w:rPr>
        <w:t>六、</w:t>
      </w:r>
      <w:bookmarkEnd w:id="116"/>
      <w:bookmarkEnd w:id="117"/>
      <w:bookmarkEnd w:id="118"/>
      <w:r>
        <w:rPr>
          <w:rFonts w:hint="eastAsia" w:ascii="Times New Roman" w:hAnsi="Times New Roman" w:eastAsia="宋体" w:cs="Times New Roman"/>
          <w:b/>
          <w:bCs/>
          <w:color w:val="000000"/>
          <w:sz w:val="32"/>
          <w:szCs w:val="32"/>
          <w:highlight w:val="none"/>
        </w:rPr>
        <w:t>定标</w:t>
      </w:r>
      <w:bookmarkEnd w:id="119"/>
    </w:p>
    <w:p w14:paraId="3DCA3026">
      <w:pPr>
        <w:keepNext/>
        <w:keepLines/>
        <w:pageBreakBefore w:val="0"/>
        <w:spacing w:line="500" w:lineRule="exact"/>
        <w:ind w:firstLine="600"/>
        <w:outlineLvl w:val="3"/>
        <w:rPr>
          <w:rFonts w:hint="eastAsia" w:ascii="黑体" w:hAnsi="宋体" w:eastAsia="黑体" w:cs="Times New Roman"/>
          <w:bCs/>
          <w:color w:val="000000"/>
          <w:kern w:val="0"/>
          <w:sz w:val="30"/>
          <w:szCs w:val="30"/>
        </w:rPr>
      </w:pPr>
      <w:bookmarkStart w:id="120" w:name="_Toc16938554"/>
      <w:bookmarkStart w:id="121" w:name="_Toc513029238"/>
      <w:bookmarkStart w:id="122" w:name="_Toc20823310"/>
      <w:r>
        <w:rPr>
          <w:rFonts w:hint="eastAsia" w:ascii="黑体" w:hAnsi="宋体" w:eastAsia="黑体" w:cs="Times New Roman"/>
          <w:bCs/>
          <w:color w:val="000000"/>
          <w:kern w:val="0"/>
          <w:sz w:val="30"/>
          <w:szCs w:val="30"/>
        </w:rPr>
        <w:t>2</w:t>
      </w:r>
      <w:r>
        <w:rPr>
          <w:rFonts w:hint="default" w:ascii="黑体" w:hAnsi="宋体" w:eastAsia="黑体" w:cs="Times New Roman"/>
          <w:bCs/>
          <w:color w:val="000000"/>
          <w:kern w:val="0"/>
          <w:sz w:val="30"/>
          <w:szCs w:val="30"/>
        </w:rPr>
        <w:t>8</w:t>
      </w:r>
      <w:r>
        <w:rPr>
          <w:rFonts w:hint="eastAsia" w:ascii="黑体" w:hAnsi="宋体" w:eastAsia="黑体" w:cs="Times New Roman"/>
          <w:bCs/>
          <w:color w:val="000000"/>
          <w:kern w:val="0"/>
          <w:sz w:val="30"/>
          <w:szCs w:val="30"/>
        </w:rPr>
        <w:t>、确定中标单位</w:t>
      </w:r>
    </w:p>
    <w:p w14:paraId="7D90A3EB">
      <w:pPr>
        <w:pageBreakBefore w:val="0"/>
        <w:spacing w:line="500" w:lineRule="exact"/>
        <w:ind w:firstLine="480"/>
        <w:rPr>
          <w:rFonts w:hint="eastAsia" w:ascii="宋体" w:hAnsi="宋体" w:eastAsia="宋体" w:cs="Times New Roman"/>
          <w:bCs/>
          <w:color w:val="000000"/>
          <w:kern w:val="0"/>
          <w:sz w:val="24"/>
          <w:szCs w:val="21"/>
          <w:lang w:eastAsia="zh-CN"/>
        </w:rPr>
      </w:pPr>
      <w:r>
        <w:rPr>
          <w:rFonts w:hint="eastAsia" w:ascii="宋体" w:hAnsi="宋体" w:eastAsia="宋体" w:cs="Times New Roman"/>
          <w:bCs/>
          <w:color w:val="000000"/>
          <w:kern w:val="0"/>
          <w:sz w:val="24"/>
          <w:szCs w:val="21"/>
        </w:rPr>
        <w:t>2</w:t>
      </w:r>
      <w:r>
        <w:rPr>
          <w:rFonts w:hint="default" w:ascii="宋体" w:hAnsi="宋体" w:eastAsia="宋体" w:cs="Times New Roman"/>
          <w:bCs/>
          <w:color w:val="000000"/>
          <w:kern w:val="0"/>
          <w:sz w:val="24"/>
          <w:szCs w:val="21"/>
        </w:rPr>
        <w:t>8</w:t>
      </w:r>
      <w:r>
        <w:rPr>
          <w:rFonts w:hint="eastAsia" w:ascii="宋体" w:hAnsi="宋体" w:eastAsia="宋体" w:cs="Times New Roman"/>
          <w:bCs/>
          <w:color w:val="000000"/>
          <w:kern w:val="0"/>
          <w:sz w:val="24"/>
          <w:szCs w:val="21"/>
        </w:rPr>
        <w:t>.1中标候选人的选取原则和数量见</w:t>
      </w:r>
      <w:r>
        <w:rPr>
          <w:rFonts w:hint="eastAsia" w:ascii="宋体" w:hAnsi="宋体" w:eastAsia="宋体" w:cs="Times New Roman"/>
          <w:bCs/>
          <w:color w:val="000000"/>
          <w:kern w:val="0"/>
          <w:sz w:val="24"/>
          <w:szCs w:val="21"/>
          <w:lang w:eastAsia="zh-CN"/>
        </w:rPr>
        <w:t>招标文件</w:t>
      </w:r>
      <w:r>
        <w:rPr>
          <w:rFonts w:hint="eastAsia" w:ascii="宋体" w:hAnsi="宋体" w:eastAsia="宋体" w:cs="Times New Roman"/>
          <w:bCs/>
          <w:color w:val="000000"/>
          <w:kern w:val="0"/>
          <w:sz w:val="24"/>
          <w:szCs w:val="21"/>
        </w:rPr>
        <w:t>第五章规定。</w:t>
      </w:r>
    </w:p>
    <w:p w14:paraId="003535FE">
      <w:pPr>
        <w:pageBreakBefore w:val="0"/>
        <w:spacing w:line="500" w:lineRule="exact"/>
        <w:ind w:firstLine="480"/>
        <w:rPr>
          <w:rFonts w:hint="eastAsia" w:ascii="宋体" w:hAnsi="宋体" w:eastAsia="宋体" w:cs="Times New Roman"/>
          <w:bCs/>
          <w:color w:val="000000"/>
          <w:kern w:val="0"/>
          <w:sz w:val="24"/>
          <w:szCs w:val="21"/>
        </w:rPr>
      </w:pPr>
      <w:r>
        <w:rPr>
          <w:rFonts w:hint="eastAsia" w:ascii="宋体" w:hAnsi="宋体" w:eastAsia="宋体" w:cs="Times New Roman"/>
          <w:bCs/>
          <w:color w:val="000000"/>
          <w:kern w:val="0"/>
          <w:sz w:val="24"/>
          <w:szCs w:val="21"/>
        </w:rPr>
        <w:t>2</w:t>
      </w:r>
      <w:r>
        <w:rPr>
          <w:rFonts w:hint="default" w:ascii="宋体" w:hAnsi="宋体" w:eastAsia="宋体" w:cs="Times New Roman"/>
          <w:bCs/>
          <w:color w:val="000000"/>
          <w:kern w:val="0"/>
          <w:sz w:val="24"/>
          <w:szCs w:val="21"/>
        </w:rPr>
        <w:t>8</w:t>
      </w:r>
      <w:r>
        <w:rPr>
          <w:rFonts w:hint="eastAsia" w:ascii="宋体" w:hAnsi="宋体" w:eastAsia="宋体" w:cs="Times New Roman"/>
          <w:bCs/>
          <w:color w:val="000000"/>
          <w:kern w:val="0"/>
          <w:sz w:val="24"/>
          <w:szCs w:val="21"/>
        </w:rPr>
        <w:t>.2采购人应根据评委会推荐的中标候选人确定中标人。</w:t>
      </w:r>
    </w:p>
    <w:p w14:paraId="725F22A0">
      <w:pPr>
        <w:pageBreakBefore w:val="0"/>
        <w:spacing w:line="500" w:lineRule="exact"/>
        <w:ind w:firstLine="480"/>
        <w:rPr>
          <w:rFonts w:hint="eastAsia" w:ascii="宋体" w:hAnsi="宋体" w:eastAsia="宋体" w:cs="Times New Roman"/>
          <w:color w:val="000000"/>
          <w:kern w:val="0"/>
          <w:sz w:val="24"/>
          <w:szCs w:val="24"/>
        </w:rPr>
      </w:pPr>
      <w:r>
        <w:rPr>
          <w:rFonts w:hint="eastAsia" w:ascii="宋体" w:hAnsi="宋体" w:eastAsia="宋体" w:cs="Times New Roman"/>
          <w:bCs/>
          <w:color w:val="000000"/>
          <w:kern w:val="0"/>
          <w:sz w:val="24"/>
          <w:szCs w:val="24"/>
        </w:rPr>
        <w:t>2</w:t>
      </w:r>
      <w:r>
        <w:rPr>
          <w:rFonts w:hint="default" w:ascii="宋体" w:hAnsi="宋体" w:eastAsia="宋体" w:cs="Times New Roman"/>
          <w:bCs/>
          <w:color w:val="000000"/>
          <w:kern w:val="0"/>
          <w:sz w:val="24"/>
          <w:szCs w:val="24"/>
        </w:rPr>
        <w:t>8</w:t>
      </w:r>
      <w:r>
        <w:rPr>
          <w:rFonts w:hint="eastAsia" w:ascii="宋体" w:hAnsi="宋体" w:eastAsia="宋体" w:cs="Times New Roman"/>
          <w:bCs/>
          <w:color w:val="000000"/>
          <w:kern w:val="0"/>
          <w:sz w:val="24"/>
          <w:szCs w:val="24"/>
        </w:rPr>
        <w:t>.3</w:t>
      </w:r>
      <w:r>
        <w:rPr>
          <w:rFonts w:hint="eastAsia" w:ascii="宋体" w:hAnsi="宋体" w:eastAsia="宋体" w:cs="Times New Roman"/>
          <w:color w:val="000000"/>
          <w:kern w:val="0"/>
          <w:sz w:val="24"/>
          <w:szCs w:val="24"/>
        </w:rPr>
        <w:t>采购中心将在“江苏政府采购网”发布中标公告，公告期限为1个工作日。</w:t>
      </w:r>
    </w:p>
    <w:p w14:paraId="23168B20">
      <w:pPr>
        <w:pageBreakBefore w:val="0"/>
        <w:spacing w:line="500" w:lineRule="exact"/>
        <w:ind w:firstLine="480"/>
        <w:rPr>
          <w:rFonts w:hint="eastAsia" w:ascii="宋体" w:hAnsi="宋体" w:eastAsia="宋体" w:cs="Times New Roman"/>
          <w:color w:val="000000"/>
          <w:kern w:val="0"/>
          <w:sz w:val="24"/>
          <w:szCs w:val="24"/>
        </w:rPr>
      </w:pPr>
      <w:r>
        <w:rPr>
          <w:rFonts w:hint="eastAsia" w:ascii="宋体" w:hAnsi="宋体" w:eastAsia="宋体" w:cs="Times New Roman"/>
          <w:color w:val="000000"/>
          <w:kern w:val="0"/>
          <w:sz w:val="24"/>
          <w:szCs w:val="24"/>
        </w:rPr>
        <w:t>2</w:t>
      </w:r>
      <w:r>
        <w:rPr>
          <w:rFonts w:hint="default" w:ascii="宋体" w:hAnsi="宋体" w:eastAsia="宋体" w:cs="Times New Roman"/>
          <w:color w:val="000000"/>
          <w:kern w:val="0"/>
          <w:sz w:val="24"/>
          <w:szCs w:val="24"/>
        </w:rPr>
        <w:t>8</w:t>
      </w:r>
      <w:r>
        <w:rPr>
          <w:rFonts w:hint="eastAsia" w:ascii="宋体" w:hAnsi="宋体" w:eastAsia="宋体" w:cs="Times New Roman"/>
          <w:color w:val="000000"/>
          <w:kern w:val="0"/>
          <w:sz w:val="24"/>
          <w:szCs w:val="24"/>
        </w:rPr>
        <w:t>.4若有充分证据证明，中标人出现下列情况之一的，一经查实，将被取消中标资格：</w:t>
      </w:r>
    </w:p>
    <w:p w14:paraId="569E55BF">
      <w:pPr>
        <w:spacing w:line="500" w:lineRule="exact"/>
        <w:ind w:firstLine="480"/>
        <w:jc w:val="left"/>
        <w:rPr>
          <w:rFonts w:hint="default" w:ascii="Calibri" w:hAnsi="Calibri" w:eastAsia="宋体" w:cs="Times New Roman"/>
          <w:kern w:val="0"/>
          <w:sz w:val="24"/>
          <w:szCs w:val="24"/>
        </w:rPr>
      </w:pPr>
      <w:r>
        <w:rPr>
          <w:rFonts w:hint="eastAsia" w:ascii="Calibri" w:hAnsi="Calibri" w:eastAsia="宋体" w:cs="Times New Roman"/>
          <w:kern w:val="0"/>
          <w:sz w:val="24"/>
          <w:szCs w:val="24"/>
        </w:rPr>
        <w:t>（1）提供虚假材料谋取中标、</w:t>
      </w:r>
      <w:r>
        <w:rPr>
          <w:rFonts w:hint="eastAsia" w:ascii="Calibri" w:hAnsi="Calibri" w:eastAsia="宋体" w:cs="Times New Roman"/>
          <w:kern w:val="0"/>
          <w:sz w:val="24"/>
          <w:szCs w:val="24"/>
          <w:lang w:eastAsia="zh-CN"/>
        </w:rPr>
        <w:t>中标</w:t>
      </w:r>
      <w:r>
        <w:rPr>
          <w:rFonts w:hint="eastAsia" w:ascii="Calibri" w:hAnsi="Calibri" w:eastAsia="宋体" w:cs="Times New Roman"/>
          <w:kern w:val="0"/>
          <w:sz w:val="24"/>
          <w:szCs w:val="24"/>
        </w:rPr>
        <w:t>的。</w:t>
      </w:r>
    </w:p>
    <w:p w14:paraId="6A4C8922">
      <w:pPr>
        <w:spacing w:line="500" w:lineRule="exact"/>
        <w:ind w:firstLine="480"/>
        <w:jc w:val="left"/>
        <w:rPr>
          <w:rFonts w:hint="default" w:ascii="Calibri" w:hAnsi="Calibri" w:eastAsia="宋体" w:cs="Times New Roman"/>
          <w:kern w:val="0"/>
          <w:sz w:val="24"/>
          <w:szCs w:val="24"/>
        </w:rPr>
      </w:pPr>
      <w:r>
        <w:rPr>
          <w:rFonts w:hint="eastAsia" w:ascii="Calibri" w:hAnsi="Calibri" w:eastAsia="宋体" w:cs="Times New Roman"/>
          <w:kern w:val="0"/>
          <w:sz w:val="24"/>
          <w:szCs w:val="24"/>
        </w:rPr>
        <w:t>（2）采取不正当手段诋毁、排挤其他供应商的。</w:t>
      </w:r>
    </w:p>
    <w:p w14:paraId="7A1D4BA2">
      <w:pPr>
        <w:spacing w:line="500" w:lineRule="exact"/>
        <w:ind w:firstLine="480"/>
        <w:jc w:val="left"/>
        <w:rPr>
          <w:rFonts w:hint="default" w:ascii="Calibri" w:hAnsi="Calibri" w:eastAsia="宋体" w:cs="Times New Roman"/>
          <w:kern w:val="0"/>
          <w:sz w:val="24"/>
          <w:szCs w:val="24"/>
        </w:rPr>
      </w:pPr>
      <w:r>
        <w:rPr>
          <w:rFonts w:hint="eastAsia" w:ascii="Calibri" w:hAnsi="Calibri" w:eastAsia="宋体" w:cs="Times New Roman"/>
          <w:kern w:val="0"/>
          <w:sz w:val="24"/>
          <w:szCs w:val="24"/>
        </w:rPr>
        <w:t>（3）与采购人、其他供应商或者</w:t>
      </w:r>
      <w:r>
        <w:rPr>
          <w:rFonts w:hint="eastAsia" w:ascii="Calibri" w:hAnsi="Calibri" w:eastAsia="宋体" w:cs="Times New Roman"/>
          <w:kern w:val="0"/>
          <w:sz w:val="24"/>
          <w:szCs w:val="24"/>
          <w:lang w:eastAsia="zh-CN"/>
        </w:rPr>
        <w:t>采购中心</w:t>
      </w:r>
      <w:r>
        <w:rPr>
          <w:rFonts w:hint="eastAsia" w:ascii="Calibri" w:hAnsi="Calibri" w:eastAsia="宋体" w:cs="Times New Roman"/>
          <w:kern w:val="0"/>
          <w:sz w:val="24"/>
          <w:szCs w:val="24"/>
        </w:rPr>
        <w:t>恶意串通的。</w:t>
      </w:r>
    </w:p>
    <w:p w14:paraId="59BA7526">
      <w:pPr>
        <w:spacing w:line="500" w:lineRule="exact"/>
        <w:ind w:firstLine="480"/>
        <w:jc w:val="left"/>
        <w:rPr>
          <w:rFonts w:hint="default" w:ascii="Calibri" w:hAnsi="Calibri" w:eastAsia="宋体" w:cs="Times New Roman"/>
          <w:kern w:val="0"/>
          <w:sz w:val="24"/>
          <w:szCs w:val="24"/>
        </w:rPr>
      </w:pPr>
      <w:r>
        <w:rPr>
          <w:rFonts w:hint="eastAsia" w:ascii="Calibri" w:hAnsi="Calibri" w:eastAsia="宋体" w:cs="Times New Roman"/>
          <w:kern w:val="0"/>
          <w:sz w:val="24"/>
          <w:szCs w:val="24"/>
        </w:rPr>
        <w:t>（4）向采购人、</w:t>
      </w:r>
      <w:r>
        <w:rPr>
          <w:rFonts w:hint="eastAsia" w:ascii="Calibri" w:hAnsi="Calibri" w:eastAsia="宋体" w:cs="Times New Roman"/>
          <w:kern w:val="0"/>
          <w:sz w:val="24"/>
          <w:szCs w:val="24"/>
          <w:lang w:eastAsia="zh-CN"/>
        </w:rPr>
        <w:t>采购中心</w:t>
      </w:r>
      <w:r>
        <w:rPr>
          <w:rFonts w:hint="eastAsia" w:ascii="Calibri" w:hAnsi="Calibri" w:eastAsia="宋体" w:cs="Times New Roman"/>
          <w:kern w:val="0"/>
          <w:sz w:val="24"/>
          <w:szCs w:val="24"/>
        </w:rPr>
        <w:t>行贿或者提供其他不正当利益的。</w:t>
      </w:r>
    </w:p>
    <w:p w14:paraId="232DD083">
      <w:pPr>
        <w:spacing w:line="500" w:lineRule="exact"/>
        <w:ind w:firstLine="480"/>
        <w:jc w:val="left"/>
        <w:rPr>
          <w:rFonts w:hint="default" w:ascii="Calibri" w:hAnsi="Calibri" w:eastAsia="宋体" w:cs="Times New Roman"/>
          <w:kern w:val="0"/>
          <w:sz w:val="24"/>
          <w:szCs w:val="24"/>
        </w:rPr>
      </w:pPr>
      <w:r>
        <w:rPr>
          <w:rFonts w:hint="eastAsia" w:ascii="Calibri" w:hAnsi="Calibri" w:eastAsia="宋体" w:cs="Times New Roman"/>
          <w:kern w:val="0"/>
          <w:sz w:val="24"/>
          <w:szCs w:val="24"/>
        </w:rPr>
        <w:t>（5）在招标采购过程中与采购人进行协商谈判的。</w:t>
      </w:r>
    </w:p>
    <w:p w14:paraId="29399E68">
      <w:pPr>
        <w:spacing w:line="500" w:lineRule="exact"/>
        <w:ind w:firstLine="480"/>
        <w:jc w:val="left"/>
        <w:rPr>
          <w:rFonts w:hint="eastAsia" w:ascii="Calibri" w:hAnsi="Calibri" w:eastAsia="宋体" w:cs="Times New Roman"/>
          <w:kern w:val="0"/>
          <w:sz w:val="24"/>
          <w:szCs w:val="24"/>
        </w:rPr>
      </w:pPr>
      <w:r>
        <w:rPr>
          <w:rFonts w:hint="eastAsia" w:ascii="Calibri" w:hAnsi="Calibri" w:eastAsia="宋体" w:cs="Times New Roman"/>
          <w:kern w:val="0"/>
          <w:sz w:val="24"/>
          <w:szCs w:val="24"/>
        </w:rPr>
        <w:t>（6）属于本招标文件规定的无效情形，但在评标过程中又未被评委会发现的。</w:t>
      </w:r>
    </w:p>
    <w:p w14:paraId="67119CFD">
      <w:pPr>
        <w:keepNext/>
        <w:keepLines/>
        <w:widowControl w:val="0"/>
        <w:spacing w:before="0" w:after="0" w:line="360" w:lineRule="auto"/>
        <w:ind w:firstLine="560"/>
        <w:jc w:val="left"/>
        <w:outlineLvl w:val="2"/>
        <w:rPr>
          <w:rFonts w:hint="default" w:ascii="Calibri" w:hAnsi="Calibri" w:eastAsia="宋体" w:cs="Times New Roman"/>
          <w:b/>
          <w:bCs/>
          <w:kern w:val="0"/>
          <w:sz w:val="28"/>
          <w:szCs w:val="28"/>
          <w:lang w:val="en-US" w:eastAsia="zh-CN" w:bidi="ar-SA"/>
        </w:rPr>
      </w:pPr>
      <w:r>
        <w:rPr>
          <w:rFonts w:hint="eastAsia" w:ascii="Calibri" w:hAnsi="Calibri" w:eastAsia="宋体" w:cs="Times New Roman"/>
          <w:b/>
          <w:bCs/>
          <w:kern w:val="0"/>
          <w:sz w:val="28"/>
          <w:szCs w:val="28"/>
          <w:lang w:val="en-US" w:eastAsia="zh-CN" w:bidi="ar-SA"/>
        </w:rPr>
        <w:t>29、中标通知书</w:t>
      </w:r>
    </w:p>
    <w:p w14:paraId="4A5C7051">
      <w:pPr>
        <w:spacing w:line="500" w:lineRule="exact"/>
        <w:ind w:firstLine="480"/>
        <w:jc w:val="left"/>
        <w:rPr>
          <w:rFonts w:hint="default" w:ascii="Calibri" w:hAnsi="Calibri" w:eastAsia="宋体" w:cs="Times New Roman"/>
          <w:kern w:val="0"/>
          <w:sz w:val="24"/>
          <w:szCs w:val="24"/>
        </w:rPr>
      </w:pPr>
      <w:r>
        <w:rPr>
          <w:rFonts w:hint="eastAsia" w:ascii="Calibri" w:hAnsi="Calibri" w:eastAsia="宋体" w:cs="Times New Roman"/>
          <w:kern w:val="0"/>
          <w:sz w:val="24"/>
          <w:szCs w:val="24"/>
        </w:rPr>
        <w:t>29.1中标结果确定后，</w:t>
      </w:r>
      <w:r>
        <w:rPr>
          <w:rFonts w:hint="eastAsia" w:ascii="Calibri" w:hAnsi="Calibri" w:eastAsia="宋体" w:cs="Times New Roman"/>
          <w:kern w:val="0"/>
          <w:sz w:val="24"/>
          <w:szCs w:val="24"/>
          <w:lang w:eastAsia="zh-CN"/>
        </w:rPr>
        <w:t>采购中心</w:t>
      </w:r>
      <w:r>
        <w:rPr>
          <w:rFonts w:hint="eastAsia" w:ascii="Calibri" w:hAnsi="Calibri" w:eastAsia="宋体" w:cs="Times New Roman"/>
          <w:kern w:val="0"/>
          <w:sz w:val="24"/>
          <w:szCs w:val="24"/>
        </w:rPr>
        <w:t>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p>
    <w:p w14:paraId="7F6AACC5">
      <w:pPr>
        <w:spacing w:line="500" w:lineRule="exact"/>
        <w:ind w:firstLine="480"/>
        <w:jc w:val="left"/>
        <w:rPr>
          <w:rFonts w:hint="default" w:ascii="Calibri" w:hAnsi="Calibri" w:eastAsia="宋体" w:cs="Times New Roman"/>
          <w:kern w:val="0"/>
          <w:sz w:val="24"/>
          <w:szCs w:val="24"/>
        </w:rPr>
      </w:pPr>
      <w:r>
        <w:rPr>
          <w:rFonts w:hint="eastAsia" w:ascii="Calibri" w:hAnsi="Calibri" w:eastAsia="宋体" w:cs="Times New Roman"/>
          <w:kern w:val="0"/>
          <w:sz w:val="24"/>
          <w:szCs w:val="24"/>
        </w:rPr>
        <w:t>29.2中标通知书将作为政府采购合同的一个组成部分。对采购人和中标人均具有法律效力。中标通知书发出后，采购人改变中标结果的，或者中标人放弃中标项目的，应当依法承担法律责任。</w:t>
      </w:r>
    </w:p>
    <w:p w14:paraId="3201481D">
      <w:pPr>
        <w:pageBreakBefore w:val="0"/>
        <w:widowControl w:val="0"/>
        <w:pBdr>
          <w:top w:val="none" w:color="000000" w:sz="0" w:space="0"/>
          <w:left w:val="none" w:color="000000" w:sz="0" w:space="0"/>
          <w:bottom w:val="none" w:color="000000" w:sz="0" w:space="0"/>
          <w:right w:val="none" w:color="000000" w:sz="0" w:space="0"/>
        </w:pBdr>
        <w:spacing w:line="500" w:lineRule="exact"/>
        <w:ind w:firstLine="480"/>
        <w:rPr>
          <w:rFonts w:hint="default" w:ascii="Calibri" w:hAnsi="Calibri" w:eastAsia="宋体" w:cs="Times New Roman"/>
          <w:kern w:val="0"/>
          <w:sz w:val="24"/>
          <w:szCs w:val="24"/>
        </w:rPr>
      </w:pPr>
      <w:r>
        <w:rPr>
          <w:rFonts w:hint="eastAsia" w:ascii="Calibri" w:hAnsi="Calibri" w:eastAsia="宋体" w:cs="Times New Roman"/>
          <w:kern w:val="0"/>
          <w:sz w:val="24"/>
          <w:szCs w:val="24"/>
        </w:rPr>
        <w:t>29.3中标人应在中标后七个工作日内，向</w:t>
      </w:r>
      <w:r>
        <w:rPr>
          <w:rFonts w:hint="eastAsia" w:ascii="Calibri" w:hAnsi="Calibri" w:eastAsia="宋体" w:cs="Times New Roman"/>
          <w:kern w:val="0"/>
          <w:sz w:val="24"/>
          <w:szCs w:val="24"/>
          <w:lang w:val="en-US" w:eastAsia="zh-CN"/>
        </w:rPr>
        <w:t>代理公司</w:t>
      </w:r>
      <w:r>
        <w:rPr>
          <w:rFonts w:hint="eastAsia" w:ascii="Calibri" w:hAnsi="Calibri" w:eastAsia="宋体" w:cs="Times New Roman"/>
          <w:kern w:val="0"/>
          <w:sz w:val="24"/>
          <w:szCs w:val="24"/>
        </w:rPr>
        <w:t>提供</w:t>
      </w:r>
      <w:r>
        <w:rPr>
          <w:rFonts w:hint="eastAsia" w:ascii="宋体" w:hAnsi="宋体" w:eastAsia="宋体" w:cs="宋体"/>
          <w:kern w:val="0"/>
          <w:sz w:val="24"/>
          <w:szCs w:val="24"/>
        </w:rPr>
        <w:t>投标文件</w:t>
      </w:r>
      <w:r>
        <w:rPr>
          <w:rFonts w:hint="default" w:ascii="宋体" w:hAnsi="宋体" w:eastAsia="宋体" w:cs="宋体"/>
          <w:kern w:val="0"/>
          <w:sz w:val="24"/>
          <w:szCs w:val="24"/>
        </w:rPr>
        <w:t>正本一份，副本</w:t>
      </w:r>
      <w:r>
        <w:rPr>
          <w:rFonts w:hint="eastAsia" w:ascii="宋体" w:hAnsi="宋体" w:eastAsia="宋体" w:cs="宋体"/>
          <w:kern w:val="0"/>
          <w:sz w:val="24"/>
          <w:szCs w:val="24"/>
          <w:lang w:val="en-US" w:eastAsia="zh-CN"/>
        </w:rPr>
        <w:t>叁</w:t>
      </w:r>
      <w:r>
        <w:rPr>
          <w:rFonts w:hint="default" w:ascii="宋体" w:hAnsi="宋体" w:eastAsia="宋体" w:cs="宋体"/>
          <w:kern w:val="0"/>
          <w:sz w:val="24"/>
          <w:szCs w:val="24"/>
        </w:rPr>
        <w:t>份，</w:t>
      </w:r>
      <w:r>
        <w:rPr>
          <w:rFonts w:hint="eastAsia" w:ascii="宋体" w:hAnsi="宋体" w:eastAsia="宋体" w:cs="宋体"/>
          <w:kern w:val="0"/>
          <w:sz w:val="24"/>
          <w:szCs w:val="24"/>
        </w:rPr>
        <w:t>电子标书一份（U盘形式、不加密无毒）</w:t>
      </w:r>
      <w:r>
        <w:rPr>
          <w:rFonts w:hint="default" w:ascii="宋体" w:hAnsi="宋体" w:eastAsia="宋体" w:cs="宋体"/>
          <w:kern w:val="0"/>
          <w:sz w:val="24"/>
          <w:szCs w:val="24"/>
        </w:rPr>
        <w:t>。正本和副本的封面上应清楚地标记“正本”或“副本”的字样</w:t>
      </w:r>
      <w:r>
        <w:rPr>
          <w:rFonts w:hint="eastAsia" w:ascii="宋体" w:hAnsi="宋体" w:eastAsia="宋体" w:cs="宋体"/>
          <w:kern w:val="0"/>
          <w:sz w:val="24"/>
          <w:szCs w:val="24"/>
          <w:lang w:eastAsia="zh-CN"/>
        </w:rPr>
        <w:t>（带页码）</w:t>
      </w:r>
      <w:r>
        <w:rPr>
          <w:rFonts w:hint="eastAsia" w:ascii="Calibri" w:hAnsi="Calibri" w:eastAsia="宋体" w:cs="Times New Roman"/>
          <w:kern w:val="0"/>
          <w:sz w:val="24"/>
          <w:szCs w:val="24"/>
        </w:rPr>
        <w:t>，封面、骑缝需加盖公章。</w:t>
      </w:r>
    </w:p>
    <w:p w14:paraId="0B9BEDBB">
      <w:pPr>
        <w:keepNext/>
        <w:keepLines/>
        <w:widowControl w:val="0"/>
        <w:spacing w:before="0" w:after="0" w:line="360" w:lineRule="auto"/>
        <w:jc w:val="both"/>
        <w:outlineLvl w:val="1"/>
        <w:rPr>
          <w:rFonts w:hint="default" w:ascii="黑体" w:hAnsi="黑体" w:eastAsia="黑体" w:cs="Times New Roman"/>
          <w:b w:val="0"/>
          <w:bCs/>
          <w:kern w:val="0"/>
          <w:sz w:val="32"/>
          <w:szCs w:val="32"/>
          <w:lang w:val="en-US" w:eastAsia="zh-CN" w:bidi="ar-SA"/>
        </w:rPr>
      </w:pPr>
      <w:r>
        <w:rPr>
          <w:rFonts w:hint="eastAsia" w:ascii="黑体" w:hAnsi="黑体" w:eastAsia="黑体" w:cs="Times New Roman"/>
          <w:b w:val="0"/>
          <w:bCs/>
          <w:kern w:val="0"/>
          <w:sz w:val="32"/>
          <w:szCs w:val="32"/>
          <w:lang w:val="en-US" w:eastAsia="zh-CN" w:bidi="ar-SA"/>
        </w:rPr>
        <w:t>七、授予合同</w:t>
      </w:r>
    </w:p>
    <w:p w14:paraId="45547903">
      <w:pPr>
        <w:keepNext/>
        <w:keepLines/>
        <w:widowControl w:val="0"/>
        <w:spacing w:before="0" w:after="0" w:line="360" w:lineRule="auto"/>
        <w:ind w:firstLine="560"/>
        <w:jc w:val="left"/>
        <w:outlineLvl w:val="2"/>
        <w:rPr>
          <w:rFonts w:hint="default" w:ascii="Calibri" w:hAnsi="Calibri" w:eastAsia="宋体" w:cs="Times New Roman"/>
          <w:b/>
          <w:bCs/>
          <w:kern w:val="0"/>
          <w:sz w:val="28"/>
          <w:szCs w:val="28"/>
          <w:lang w:val="en-US" w:eastAsia="zh-CN" w:bidi="ar-SA"/>
        </w:rPr>
      </w:pPr>
      <w:r>
        <w:rPr>
          <w:rFonts w:hint="eastAsia" w:ascii="Calibri" w:hAnsi="Calibri" w:eastAsia="宋体" w:cs="Times New Roman"/>
          <w:b/>
          <w:bCs/>
          <w:kern w:val="0"/>
          <w:sz w:val="28"/>
          <w:szCs w:val="28"/>
          <w:lang w:val="en-US" w:eastAsia="zh-CN" w:bidi="ar-SA"/>
        </w:rPr>
        <w:t>30、履约保证金</w:t>
      </w:r>
    </w:p>
    <w:p w14:paraId="537AC71D">
      <w:pPr>
        <w:spacing w:line="500" w:lineRule="exact"/>
        <w:ind w:firstLine="480"/>
        <w:jc w:val="left"/>
        <w:rPr>
          <w:rFonts w:hint="default" w:ascii="Calibri" w:hAnsi="Calibri" w:eastAsia="宋体" w:cs="Times New Roman"/>
          <w:kern w:val="0"/>
          <w:sz w:val="24"/>
          <w:szCs w:val="24"/>
        </w:rPr>
      </w:pPr>
      <w:r>
        <w:rPr>
          <w:rFonts w:hint="eastAsia" w:ascii="Calibri" w:hAnsi="Calibri" w:eastAsia="宋体" w:cs="Times New Roman"/>
          <w:kern w:val="0"/>
          <w:sz w:val="24"/>
          <w:szCs w:val="24"/>
        </w:rPr>
        <w:t>30.1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p>
    <w:p w14:paraId="2EA306CC">
      <w:pPr>
        <w:spacing w:line="500" w:lineRule="exact"/>
        <w:ind w:firstLine="480"/>
        <w:jc w:val="left"/>
        <w:rPr>
          <w:rFonts w:hint="default" w:ascii="Calibri" w:hAnsi="Calibri" w:eastAsia="宋体" w:cs="Times New Roman"/>
          <w:kern w:val="0"/>
          <w:sz w:val="24"/>
          <w:szCs w:val="24"/>
        </w:rPr>
      </w:pPr>
      <w:r>
        <w:rPr>
          <w:rFonts w:hint="eastAsia" w:ascii="Calibri" w:hAnsi="Calibri" w:eastAsia="宋体" w:cs="Times New Roman"/>
          <w:kern w:val="0"/>
          <w:sz w:val="24"/>
          <w:szCs w:val="24"/>
        </w:rPr>
        <w:t>30.2中标人违约的，采购人将按照合同约定扣除其全部或部分履约保证金。如中标人违约给采购人造成的损失超过履约保证金的，应当依法赔偿超过部分的损失。</w:t>
      </w:r>
    </w:p>
    <w:p w14:paraId="0D16F39A">
      <w:pPr>
        <w:spacing w:line="500" w:lineRule="exact"/>
        <w:ind w:firstLine="480"/>
        <w:jc w:val="left"/>
        <w:rPr>
          <w:rFonts w:hint="default" w:ascii="Calibri" w:hAnsi="Calibri" w:eastAsia="宋体" w:cs="Times New Roman"/>
          <w:kern w:val="0"/>
          <w:sz w:val="24"/>
          <w:szCs w:val="24"/>
        </w:rPr>
      </w:pPr>
      <w:r>
        <w:rPr>
          <w:rFonts w:hint="eastAsia" w:ascii="Calibri" w:hAnsi="Calibri" w:eastAsia="宋体" w:cs="Times New Roman"/>
          <w:kern w:val="0"/>
          <w:sz w:val="24"/>
          <w:szCs w:val="24"/>
        </w:rPr>
        <w:t>30.3履约保证金自合同生效之日起至合同约定的中标人主要义务履行完毕止，采购人应当按合同约定及时退还履约保证金。</w:t>
      </w:r>
    </w:p>
    <w:p w14:paraId="01B44B14">
      <w:pPr>
        <w:spacing w:line="500" w:lineRule="exact"/>
        <w:ind w:firstLine="480"/>
        <w:jc w:val="left"/>
        <w:rPr>
          <w:rFonts w:hint="default" w:ascii="Calibri" w:hAnsi="Calibri" w:eastAsia="宋体" w:cs="Times New Roman"/>
          <w:kern w:val="0"/>
          <w:sz w:val="24"/>
          <w:szCs w:val="24"/>
        </w:rPr>
      </w:pPr>
      <w:r>
        <w:rPr>
          <w:rFonts w:hint="eastAsia" w:ascii="Calibri" w:hAnsi="Calibri" w:eastAsia="宋体" w:cs="Times New Roman"/>
          <w:kern w:val="0"/>
          <w:sz w:val="24"/>
          <w:szCs w:val="24"/>
        </w:rPr>
        <w:t>30.4逾期退还履约保证金的采购人承担违约责任，按照中国人民银行同期贷款基准利率向中标人支付超期资金占用费。</w:t>
      </w:r>
    </w:p>
    <w:p w14:paraId="29FC8022">
      <w:pPr>
        <w:spacing w:line="500" w:lineRule="exact"/>
        <w:ind w:firstLine="480"/>
        <w:jc w:val="left"/>
        <w:rPr>
          <w:rFonts w:hint="default" w:ascii="Calibri" w:hAnsi="Calibri" w:eastAsia="宋体" w:cs="Times New Roman"/>
          <w:kern w:val="0"/>
          <w:sz w:val="24"/>
          <w:szCs w:val="24"/>
        </w:rPr>
      </w:pPr>
      <w:r>
        <w:rPr>
          <w:rFonts w:hint="eastAsia" w:ascii="Calibri" w:hAnsi="Calibri" w:eastAsia="宋体" w:cs="Times New Roman"/>
          <w:kern w:val="0"/>
          <w:sz w:val="24"/>
          <w:szCs w:val="24"/>
        </w:rPr>
        <w:t>30.5本项目履约保证金要求详见招标文件第四章采购需求。</w:t>
      </w:r>
    </w:p>
    <w:p w14:paraId="0C992346">
      <w:pPr>
        <w:keepNext/>
        <w:keepLines/>
        <w:widowControl w:val="0"/>
        <w:spacing w:before="0" w:after="0" w:line="360" w:lineRule="auto"/>
        <w:ind w:firstLine="560"/>
        <w:jc w:val="left"/>
        <w:outlineLvl w:val="2"/>
        <w:rPr>
          <w:rFonts w:hint="default" w:ascii="Calibri" w:hAnsi="Calibri" w:eastAsia="宋体" w:cs="Times New Roman"/>
          <w:b/>
          <w:bCs/>
          <w:kern w:val="0"/>
          <w:sz w:val="28"/>
          <w:szCs w:val="28"/>
          <w:lang w:val="en-US" w:eastAsia="zh-CN" w:bidi="ar-SA"/>
        </w:rPr>
      </w:pPr>
      <w:r>
        <w:rPr>
          <w:rFonts w:hint="eastAsia" w:ascii="Calibri" w:hAnsi="Calibri" w:eastAsia="宋体" w:cs="Times New Roman"/>
          <w:b/>
          <w:bCs/>
          <w:kern w:val="0"/>
          <w:sz w:val="28"/>
          <w:szCs w:val="28"/>
          <w:lang w:val="en-US" w:eastAsia="zh-CN" w:bidi="ar-SA"/>
        </w:rPr>
        <w:t>31、签订合同</w:t>
      </w:r>
    </w:p>
    <w:p w14:paraId="47555F23">
      <w:pPr>
        <w:spacing w:line="500" w:lineRule="exact"/>
        <w:ind w:firstLine="480"/>
        <w:jc w:val="left"/>
        <w:rPr>
          <w:rFonts w:hint="default" w:ascii="Calibri" w:hAnsi="Calibri" w:eastAsia="宋体" w:cs="Times New Roman"/>
          <w:kern w:val="0"/>
          <w:sz w:val="24"/>
          <w:szCs w:val="24"/>
        </w:rPr>
      </w:pPr>
      <w:r>
        <w:rPr>
          <w:rFonts w:hint="eastAsia" w:ascii="Calibri" w:hAnsi="Calibri" w:eastAsia="宋体" w:cs="Times New Roman"/>
          <w:kern w:val="0"/>
          <w:sz w:val="24"/>
          <w:szCs w:val="24"/>
        </w:rPr>
        <w:t>31.1中标人应当在中标通知书发出之日起三十日内，按照招标文件和中标人投标文件的规定，与采购人签订政府采购合同。</w:t>
      </w:r>
    </w:p>
    <w:p w14:paraId="35E75522">
      <w:pPr>
        <w:spacing w:line="500" w:lineRule="exact"/>
        <w:ind w:firstLine="480"/>
        <w:jc w:val="left"/>
        <w:rPr>
          <w:rFonts w:hint="default" w:ascii="Calibri" w:hAnsi="Calibri" w:eastAsia="宋体" w:cs="Times New Roman"/>
          <w:kern w:val="0"/>
          <w:sz w:val="24"/>
          <w:szCs w:val="24"/>
        </w:rPr>
      </w:pPr>
      <w:r>
        <w:rPr>
          <w:rFonts w:hint="eastAsia" w:ascii="Calibri" w:hAnsi="Calibri" w:eastAsia="宋体" w:cs="Times New Roman"/>
          <w:kern w:val="0"/>
          <w:sz w:val="24"/>
          <w:szCs w:val="24"/>
        </w:rPr>
        <w:t>31.2招标文件、中标人的投标文件及招标过程中有关澄清、承诺等文件均应作为合同附件。</w:t>
      </w:r>
    </w:p>
    <w:p w14:paraId="042F1C21">
      <w:pPr>
        <w:spacing w:line="500" w:lineRule="exact"/>
        <w:ind w:firstLine="480"/>
        <w:jc w:val="left"/>
        <w:rPr>
          <w:rFonts w:hint="default" w:ascii="Calibri" w:hAnsi="Calibri" w:eastAsia="宋体" w:cs="Times New Roman"/>
          <w:kern w:val="0"/>
          <w:sz w:val="24"/>
          <w:szCs w:val="24"/>
        </w:rPr>
      </w:pPr>
      <w:r>
        <w:rPr>
          <w:rFonts w:hint="eastAsia" w:ascii="Calibri" w:hAnsi="Calibri" w:eastAsia="宋体" w:cs="Times New Roman"/>
          <w:kern w:val="0"/>
          <w:sz w:val="24"/>
          <w:szCs w:val="24"/>
        </w:rPr>
        <w:t>31.3签订合同后，中标人不得将合同标的转包。未经采购人同意，中标人也不得采用分包的形式履行合同，否则采购人有权终止合同。转包或分包造成采购人损失的，中标人应承担相应赔偿责任。</w:t>
      </w:r>
    </w:p>
    <w:p w14:paraId="7F390654">
      <w:pPr>
        <w:keepNext/>
        <w:keepLines/>
        <w:widowControl w:val="0"/>
        <w:spacing w:before="0" w:after="0" w:line="360" w:lineRule="auto"/>
        <w:ind w:firstLine="560"/>
        <w:jc w:val="left"/>
        <w:outlineLvl w:val="2"/>
        <w:rPr>
          <w:rFonts w:hint="default" w:ascii="Calibri" w:hAnsi="Calibri" w:eastAsia="宋体" w:cs="Times New Roman"/>
          <w:b/>
          <w:bCs/>
          <w:kern w:val="0"/>
          <w:sz w:val="28"/>
          <w:szCs w:val="28"/>
          <w:lang w:val="en-US" w:eastAsia="zh-CN" w:bidi="ar-SA"/>
        </w:rPr>
      </w:pPr>
      <w:r>
        <w:rPr>
          <w:rFonts w:hint="eastAsia" w:ascii="Calibri" w:hAnsi="Calibri" w:eastAsia="宋体" w:cs="Times New Roman"/>
          <w:b/>
          <w:bCs/>
          <w:kern w:val="0"/>
          <w:sz w:val="28"/>
          <w:szCs w:val="28"/>
          <w:lang w:val="en-US" w:eastAsia="zh-CN" w:bidi="ar-SA"/>
        </w:rPr>
        <w:t>32、合同标的的追加</w:t>
      </w:r>
    </w:p>
    <w:p w14:paraId="6CFAEE12">
      <w:pPr>
        <w:spacing w:line="500" w:lineRule="exact"/>
        <w:ind w:firstLine="480"/>
        <w:jc w:val="left"/>
        <w:rPr>
          <w:rFonts w:hint="default" w:ascii="Calibri" w:hAnsi="Calibri" w:eastAsia="宋体" w:cs="Times New Roman"/>
          <w:kern w:val="0"/>
          <w:sz w:val="24"/>
          <w:szCs w:val="24"/>
        </w:rPr>
      </w:pPr>
      <w:r>
        <w:rPr>
          <w:rFonts w:hint="eastAsia" w:ascii="Calibri" w:hAnsi="Calibri" w:eastAsia="宋体" w:cs="Times New Roman"/>
          <w:kern w:val="0"/>
          <w:sz w:val="24"/>
          <w:szCs w:val="24"/>
        </w:rPr>
        <w:t>32.1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p>
    <w:p w14:paraId="5AC6CC38">
      <w:pPr>
        <w:keepNext/>
        <w:keepLines/>
        <w:widowControl w:val="0"/>
        <w:spacing w:before="0" w:after="0" w:line="360" w:lineRule="auto"/>
        <w:ind w:firstLine="560"/>
        <w:jc w:val="left"/>
        <w:outlineLvl w:val="2"/>
        <w:rPr>
          <w:rFonts w:hint="default" w:ascii="Calibri" w:hAnsi="Calibri" w:eastAsia="宋体" w:cs="Times New Roman"/>
          <w:b/>
          <w:bCs/>
          <w:kern w:val="0"/>
          <w:sz w:val="28"/>
          <w:szCs w:val="28"/>
          <w:lang w:val="en-US" w:eastAsia="zh-CN" w:bidi="ar-SA"/>
        </w:rPr>
      </w:pPr>
      <w:r>
        <w:rPr>
          <w:rFonts w:hint="eastAsia" w:ascii="Calibri" w:hAnsi="Calibri" w:eastAsia="宋体" w:cs="Times New Roman"/>
          <w:b/>
          <w:bCs/>
          <w:kern w:val="0"/>
          <w:sz w:val="28"/>
          <w:szCs w:val="28"/>
          <w:lang w:val="en-US" w:eastAsia="zh-CN" w:bidi="ar-SA"/>
        </w:rPr>
        <w:t>33、政府采购履约资金扶持政策</w:t>
      </w:r>
    </w:p>
    <w:p w14:paraId="76FFD378">
      <w:pPr>
        <w:spacing w:line="500" w:lineRule="exact"/>
        <w:ind w:firstLine="480"/>
        <w:jc w:val="left"/>
        <w:rPr>
          <w:rFonts w:hint="default" w:ascii="Calibri" w:hAnsi="Calibri" w:eastAsia="宋体" w:cs="Times New Roman"/>
          <w:kern w:val="0"/>
          <w:sz w:val="24"/>
          <w:szCs w:val="24"/>
        </w:rPr>
      </w:pPr>
      <w:r>
        <w:rPr>
          <w:rFonts w:hint="eastAsia" w:ascii="Calibri" w:hAnsi="Calibri" w:eastAsia="宋体" w:cs="Times New Roman"/>
          <w:kern w:val="0"/>
          <w:sz w:val="24"/>
          <w:szCs w:val="24"/>
        </w:rPr>
        <w:t>33.1中标人可凭政府采购合同办理融资贷款，详情请见江苏政府采购网“政采贷”专栏。</w:t>
      </w:r>
    </w:p>
    <w:p w14:paraId="0EEE99FB">
      <w:pPr>
        <w:spacing w:line="500" w:lineRule="exact"/>
        <w:ind w:firstLine="480"/>
        <w:jc w:val="left"/>
        <w:rPr>
          <w:rFonts w:hint="default" w:ascii="Calibri" w:hAnsi="Calibri" w:eastAsia="宋体" w:cs="Times New Roman"/>
          <w:kern w:val="0"/>
          <w:sz w:val="24"/>
          <w:szCs w:val="24"/>
        </w:rPr>
      </w:pPr>
    </w:p>
    <w:bookmarkEnd w:id="120"/>
    <w:bookmarkEnd w:id="121"/>
    <w:bookmarkEnd w:id="122"/>
    <w:p w14:paraId="4F0CE846">
      <w:pPr>
        <w:keepNext/>
        <w:keepLines/>
        <w:widowControl w:val="0"/>
        <w:spacing w:before="0" w:after="0" w:line="360" w:lineRule="auto"/>
        <w:jc w:val="both"/>
        <w:outlineLvl w:val="1"/>
        <w:rPr>
          <w:rFonts w:hint="default" w:ascii="黑体" w:hAnsi="黑体" w:eastAsia="黑体" w:cs="Times New Roman"/>
          <w:b w:val="0"/>
          <w:bCs/>
          <w:kern w:val="0"/>
          <w:sz w:val="32"/>
          <w:szCs w:val="32"/>
          <w:lang w:val="en-US" w:eastAsia="zh-CN" w:bidi="ar-SA"/>
        </w:rPr>
      </w:pPr>
      <w:bookmarkStart w:id="123" w:name="_Toc200451960"/>
      <w:r>
        <w:rPr>
          <w:rFonts w:hint="eastAsia" w:ascii="黑体" w:hAnsi="黑体" w:eastAsia="黑体" w:cs="Times New Roman"/>
          <w:b w:val="0"/>
          <w:bCs/>
          <w:kern w:val="0"/>
          <w:sz w:val="32"/>
          <w:szCs w:val="32"/>
          <w:lang w:val="en-US" w:eastAsia="zh-CN" w:bidi="ar-SA"/>
        </w:rPr>
        <w:t>八、询问与质疑</w:t>
      </w:r>
    </w:p>
    <w:bookmarkEnd w:id="123"/>
    <w:p w14:paraId="6FDDA1DB">
      <w:pPr>
        <w:keepNext/>
        <w:keepLines/>
        <w:widowControl w:val="0"/>
        <w:spacing w:before="0" w:after="0" w:line="360" w:lineRule="auto"/>
        <w:ind w:firstLine="560"/>
        <w:jc w:val="left"/>
        <w:outlineLvl w:val="2"/>
        <w:rPr>
          <w:rFonts w:hint="default" w:ascii="Calibri" w:hAnsi="Calibri" w:eastAsia="宋体" w:cs="Times New Roman"/>
          <w:b/>
          <w:bCs/>
          <w:kern w:val="0"/>
          <w:sz w:val="28"/>
          <w:szCs w:val="28"/>
          <w:lang w:val="en-US" w:eastAsia="zh-CN" w:bidi="ar-SA"/>
        </w:rPr>
      </w:pPr>
      <w:r>
        <w:rPr>
          <w:rFonts w:hint="eastAsia" w:ascii="Calibri" w:hAnsi="Calibri" w:eastAsia="宋体" w:cs="Times New Roman"/>
          <w:b/>
          <w:bCs/>
          <w:kern w:val="0"/>
          <w:sz w:val="28"/>
          <w:szCs w:val="28"/>
          <w:lang w:val="en-US" w:eastAsia="zh-CN" w:bidi="ar-SA"/>
        </w:rPr>
        <w:t>34、询问</w:t>
      </w:r>
    </w:p>
    <w:p w14:paraId="31C0FBE0">
      <w:pPr>
        <w:spacing w:line="500" w:lineRule="exact"/>
        <w:ind w:firstLine="480"/>
        <w:jc w:val="left"/>
        <w:rPr>
          <w:rFonts w:hint="default" w:ascii="Calibri" w:hAnsi="Calibri" w:eastAsia="宋体" w:cs="Times New Roman"/>
          <w:kern w:val="0"/>
          <w:sz w:val="24"/>
          <w:szCs w:val="24"/>
        </w:rPr>
      </w:pPr>
      <w:r>
        <w:rPr>
          <w:rFonts w:hint="eastAsia" w:ascii="Calibri" w:hAnsi="Calibri" w:eastAsia="宋体" w:cs="Times New Roman"/>
          <w:kern w:val="0"/>
          <w:sz w:val="24"/>
          <w:szCs w:val="24"/>
        </w:rPr>
        <w:t>34.1供应商对政府采购活动事项有疑问的，可以提出询问，采购人或者</w:t>
      </w:r>
      <w:r>
        <w:rPr>
          <w:rFonts w:hint="eastAsia" w:ascii="Calibri" w:hAnsi="Calibri" w:eastAsia="宋体" w:cs="Times New Roman"/>
          <w:kern w:val="0"/>
          <w:sz w:val="24"/>
          <w:szCs w:val="24"/>
          <w:lang w:eastAsia="zh-CN"/>
        </w:rPr>
        <w:t>采购中心</w:t>
      </w:r>
      <w:r>
        <w:rPr>
          <w:rFonts w:hint="eastAsia" w:ascii="Calibri" w:hAnsi="Calibri" w:eastAsia="宋体" w:cs="Times New Roman"/>
          <w:kern w:val="0"/>
          <w:sz w:val="24"/>
          <w:szCs w:val="24"/>
        </w:rPr>
        <w:t>应当在3个工作日内对投标人依法提出的询问作出答复，但答复的内容不得涉及商业秘密。供应商提出的询问超出采购人对</w:t>
      </w:r>
      <w:r>
        <w:rPr>
          <w:rFonts w:hint="eastAsia" w:ascii="Calibri" w:hAnsi="Calibri" w:eastAsia="宋体" w:cs="Times New Roman"/>
          <w:kern w:val="0"/>
          <w:sz w:val="24"/>
          <w:szCs w:val="24"/>
          <w:lang w:eastAsia="zh-CN"/>
        </w:rPr>
        <w:t>采购中心</w:t>
      </w:r>
      <w:r>
        <w:rPr>
          <w:rFonts w:hint="eastAsia" w:ascii="Calibri" w:hAnsi="Calibri" w:eastAsia="宋体" w:cs="Times New Roman"/>
          <w:kern w:val="0"/>
          <w:sz w:val="24"/>
          <w:szCs w:val="24"/>
        </w:rPr>
        <w:t>委托授权范围的，</w:t>
      </w:r>
      <w:r>
        <w:rPr>
          <w:rFonts w:hint="eastAsia" w:ascii="Calibri" w:hAnsi="Calibri" w:eastAsia="宋体" w:cs="Times New Roman"/>
          <w:kern w:val="0"/>
          <w:sz w:val="24"/>
          <w:szCs w:val="24"/>
          <w:lang w:eastAsia="zh-CN"/>
        </w:rPr>
        <w:t>采购中心</w:t>
      </w:r>
      <w:r>
        <w:rPr>
          <w:rFonts w:hint="eastAsia" w:ascii="Calibri" w:hAnsi="Calibri" w:eastAsia="宋体" w:cs="Times New Roman"/>
          <w:kern w:val="0"/>
          <w:sz w:val="24"/>
          <w:szCs w:val="24"/>
        </w:rPr>
        <w:t>应当告知其向采购人提出。</w:t>
      </w:r>
    </w:p>
    <w:p w14:paraId="2FD662F9">
      <w:pPr>
        <w:keepNext/>
        <w:keepLines/>
        <w:widowControl w:val="0"/>
        <w:spacing w:before="0" w:after="0" w:line="360" w:lineRule="auto"/>
        <w:ind w:firstLine="560"/>
        <w:jc w:val="left"/>
        <w:outlineLvl w:val="2"/>
        <w:rPr>
          <w:rFonts w:hint="default" w:ascii="Calibri" w:hAnsi="Calibri" w:eastAsia="宋体" w:cs="Times New Roman"/>
          <w:b/>
          <w:bCs/>
          <w:kern w:val="0"/>
          <w:sz w:val="28"/>
          <w:szCs w:val="28"/>
          <w:lang w:val="en-US" w:eastAsia="zh-CN" w:bidi="ar-SA"/>
        </w:rPr>
      </w:pPr>
      <w:r>
        <w:rPr>
          <w:rFonts w:hint="eastAsia" w:ascii="Calibri" w:hAnsi="Calibri" w:eastAsia="宋体" w:cs="Times New Roman"/>
          <w:b/>
          <w:bCs/>
          <w:kern w:val="0"/>
          <w:sz w:val="28"/>
          <w:szCs w:val="28"/>
          <w:lang w:val="en-US" w:eastAsia="zh-CN" w:bidi="ar-SA"/>
        </w:rPr>
        <w:t>35、质疑提出</w:t>
      </w:r>
    </w:p>
    <w:p w14:paraId="6AA5CF4B">
      <w:pPr>
        <w:spacing w:line="500" w:lineRule="exact"/>
        <w:ind w:firstLine="480"/>
        <w:jc w:val="left"/>
        <w:rPr>
          <w:rFonts w:hint="default" w:ascii="Calibri" w:hAnsi="Calibri" w:eastAsia="宋体" w:cs="Times New Roman"/>
          <w:kern w:val="0"/>
          <w:sz w:val="24"/>
          <w:szCs w:val="24"/>
        </w:rPr>
      </w:pPr>
      <w:r>
        <w:rPr>
          <w:rFonts w:hint="eastAsia" w:ascii="Calibri" w:hAnsi="Calibri" w:eastAsia="宋体" w:cs="Times New Roman"/>
          <w:kern w:val="0"/>
          <w:sz w:val="24"/>
          <w:szCs w:val="24"/>
        </w:rPr>
        <w:t>35.1提出质疑的供应商应当是参与所质疑项目采购活动的供应商。</w:t>
      </w:r>
    </w:p>
    <w:p w14:paraId="4FE36A1F">
      <w:pPr>
        <w:spacing w:line="500" w:lineRule="exact"/>
        <w:ind w:firstLine="480"/>
        <w:jc w:val="left"/>
        <w:rPr>
          <w:rFonts w:hint="default" w:ascii="Calibri" w:hAnsi="Calibri" w:eastAsia="宋体" w:cs="Times New Roman"/>
          <w:kern w:val="0"/>
          <w:sz w:val="24"/>
          <w:szCs w:val="24"/>
        </w:rPr>
      </w:pPr>
      <w:r>
        <w:rPr>
          <w:rFonts w:hint="eastAsia" w:ascii="Calibri" w:hAnsi="Calibri" w:eastAsia="宋体" w:cs="Times New Roman"/>
          <w:kern w:val="0"/>
          <w:sz w:val="24"/>
          <w:szCs w:val="24"/>
        </w:rPr>
        <w:t>35.2供应商认为采购文件、采购过程、采购结果使自己的权益受到损害的，可以在知道或者应知其权益受到损害之日（获取采购文件之日、中标公告发布之日）起七个工作日内以书面形式向采购人、</w:t>
      </w:r>
      <w:r>
        <w:rPr>
          <w:rFonts w:hint="eastAsia" w:ascii="Calibri" w:hAnsi="Calibri" w:eastAsia="宋体" w:cs="Times New Roman"/>
          <w:kern w:val="0"/>
          <w:sz w:val="24"/>
          <w:szCs w:val="24"/>
          <w:lang w:eastAsia="zh-CN"/>
        </w:rPr>
        <w:t>采购中心</w:t>
      </w:r>
      <w:r>
        <w:rPr>
          <w:rFonts w:hint="eastAsia" w:ascii="Calibri" w:hAnsi="Calibri" w:eastAsia="宋体" w:cs="Times New Roman"/>
          <w:kern w:val="0"/>
          <w:sz w:val="24"/>
          <w:szCs w:val="24"/>
        </w:rPr>
        <w:t>提出质疑。</w:t>
      </w:r>
    </w:p>
    <w:p w14:paraId="350ED23E">
      <w:pPr>
        <w:spacing w:line="500" w:lineRule="exact"/>
        <w:ind w:firstLine="480"/>
        <w:jc w:val="left"/>
        <w:rPr>
          <w:rFonts w:hint="default" w:ascii="Calibri" w:hAnsi="Calibri" w:eastAsia="宋体" w:cs="Times New Roman"/>
          <w:kern w:val="0"/>
          <w:sz w:val="24"/>
          <w:szCs w:val="24"/>
        </w:rPr>
      </w:pPr>
      <w:r>
        <w:rPr>
          <w:rFonts w:hint="eastAsia" w:ascii="Calibri" w:hAnsi="Calibri" w:eastAsia="宋体" w:cs="Times New Roman"/>
          <w:kern w:val="0"/>
          <w:sz w:val="24"/>
          <w:szCs w:val="24"/>
        </w:rPr>
        <w:t>供应商应当在法定质疑期内一次性提出针对同一采购程序环节的质疑，供应商如在法定期限内对同一采购程序环节提出多次质疑的，采购人、</w:t>
      </w:r>
      <w:r>
        <w:rPr>
          <w:rFonts w:hint="eastAsia" w:ascii="Calibri" w:hAnsi="Calibri" w:eastAsia="宋体" w:cs="Times New Roman"/>
          <w:kern w:val="0"/>
          <w:sz w:val="24"/>
          <w:szCs w:val="24"/>
          <w:lang w:eastAsia="zh-CN"/>
        </w:rPr>
        <w:t>采购中心</w:t>
      </w:r>
      <w:r>
        <w:rPr>
          <w:rFonts w:hint="eastAsia" w:ascii="Calibri" w:hAnsi="Calibri" w:eastAsia="宋体" w:cs="Times New Roman"/>
          <w:kern w:val="0"/>
          <w:sz w:val="24"/>
          <w:szCs w:val="24"/>
        </w:rPr>
        <w:t>将只对供应商第一次质疑作出答复。</w:t>
      </w:r>
    </w:p>
    <w:p w14:paraId="147064B5">
      <w:pPr>
        <w:spacing w:line="500" w:lineRule="exact"/>
        <w:ind w:firstLine="480"/>
        <w:jc w:val="left"/>
        <w:rPr>
          <w:rFonts w:hint="default" w:ascii="Calibri" w:hAnsi="Calibri" w:eastAsia="宋体" w:cs="Times New Roman"/>
          <w:kern w:val="0"/>
          <w:sz w:val="24"/>
          <w:szCs w:val="24"/>
        </w:rPr>
      </w:pPr>
      <w:r>
        <w:rPr>
          <w:rFonts w:hint="eastAsia" w:ascii="Calibri" w:hAnsi="Calibri" w:eastAsia="宋体" w:cs="Times New Roman"/>
          <w:kern w:val="0"/>
          <w:sz w:val="24"/>
          <w:szCs w:val="24"/>
        </w:rPr>
        <w:t>未按照采购公告要求获取采购文件的供应商，视为未参与该项目采购活动，不具备对该采购文件提出质疑的法定权利。</w:t>
      </w:r>
    </w:p>
    <w:p w14:paraId="549E5EC3">
      <w:pPr>
        <w:spacing w:line="500" w:lineRule="exact"/>
        <w:ind w:firstLine="480"/>
        <w:jc w:val="left"/>
        <w:rPr>
          <w:rFonts w:hint="default" w:ascii="Calibri" w:hAnsi="Calibri" w:eastAsia="宋体" w:cs="Times New Roman"/>
          <w:kern w:val="0"/>
          <w:sz w:val="24"/>
          <w:szCs w:val="24"/>
        </w:rPr>
      </w:pPr>
      <w:r>
        <w:rPr>
          <w:rFonts w:hint="eastAsia" w:ascii="Calibri" w:hAnsi="Calibri" w:eastAsia="宋体" w:cs="Times New Roman"/>
          <w:kern w:val="0"/>
          <w:sz w:val="24"/>
          <w:szCs w:val="24"/>
        </w:rPr>
        <w:t>35.3提出质疑时，必须坚持“实事求是”的原则，不能臆测。属于须由法定部门调查、侦查或先行作出相关认定的事项，质疑供应商应当依法申请具有法定职权的部门查清、认定，并将相关结果提供给采购人、</w:t>
      </w:r>
      <w:r>
        <w:rPr>
          <w:rFonts w:hint="eastAsia" w:ascii="Calibri" w:hAnsi="Calibri" w:eastAsia="宋体" w:cs="Times New Roman"/>
          <w:kern w:val="0"/>
          <w:sz w:val="24"/>
          <w:szCs w:val="24"/>
          <w:lang w:eastAsia="zh-CN"/>
        </w:rPr>
        <w:t>采购中心</w:t>
      </w:r>
      <w:r>
        <w:rPr>
          <w:rFonts w:hint="eastAsia" w:ascii="Calibri" w:hAnsi="Calibri" w:eastAsia="宋体" w:cs="Times New Roman"/>
          <w:kern w:val="0"/>
          <w:sz w:val="24"/>
          <w:szCs w:val="24"/>
        </w:rPr>
        <w:t>。采购人、</w:t>
      </w:r>
      <w:r>
        <w:rPr>
          <w:rFonts w:hint="eastAsia" w:ascii="Calibri" w:hAnsi="Calibri" w:eastAsia="宋体" w:cs="Times New Roman"/>
          <w:kern w:val="0"/>
          <w:sz w:val="24"/>
          <w:szCs w:val="24"/>
          <w:lang w:eastAsia="zh-CN"/>
        </w:rPr>
        <w:t>采购中心</w:t>
      </w:r>
      <w:r>
        <w:rPr>
          <w:rFonts w:hint="eastAsia" w:ascii="Calibri" w:hAnsi="Calibri" w:eastAsia="宋体" w:cs="Times New Roman"/>
          <w:kern w:val="0"/>
          <w:sz w:val="24"/>
          <w:szCs w:val="24"/>
        </w:rPr>
        <w:t>不具有法定调查、认定权限。</w:t>
      </w:r>
    </w:p>
    <w:p w14:paraId="01A88268">
      <w:pPr>
        <w:spacing w:line="500" w:lineRule="exact"/>
        <w:ind w:firstLine="480"/>
        <w:jc w:val="left"/>
        <w:rPr>
          <w:rFonts w:hint="default" w:ascii="Calibri" w:hAnsi="Calibri" w:eastAsia="宋体" w:cs="Times New Roman"/>
          <w:kern w:val="0"/>
          <w:sz w:val="24"/>
          <w:szCs w:val="24"/>
        </w:rPr>
      </w:pPr>
      <w:r>
        <w:rPr>
          <w:rFonts w:hint="eastAsia" w:ascii="Calibri" w:hAnsi="Calibri" w:eastAsia="宋体" w:cs="Times New Roman"/>
          <w:kern w:val="0"/>
          <w:sz w:val="24"/>
          <w:szCs w:val="24"/>
        </w:rPr>
        <w:t>35.4质疑函的接收方式为供应商书面原件提交。联系部门、联系电话和通讯地址详见招标文件第一章。质疑实行实名制，不得进行虚假、恶意质疑。</w:t>
      </w:r>
    </w:p>
    <w:p w14:paraId="70628BB3">
      <w:pPr>
        <w:spacing w:line="500" w:lineRule="exact"/>
        <w:ind w:firstLine="480"/>
        <w:jc w:val="left"/>
        <w:rPr>
          <w:rFonts w:hint="default" w:ascii="Calibri" w:hAnsi="Calibri" w:eastAsia="宋体" w:cs="Times New Roman"/>
          <w:kern w:val="0"/>
          <w:sz w:val="24"/>
          <w:szCs w:val="24"/>
        </w:rPr>
      </w:pPr>
      <w:r>
        <w:rPr>
          <w:rFonts w:hint="eastAsia" w:ascii="Calibri" w:hAnsi="Calibri" w:eastAsia="宋体" w:cs="Times New Roman"/>
          <w:kern w:val="0"/>
          <w:sz w:val="24"/>
          <w:szCs w:val="24"/>
        </w:rPr>
        <w:t>35.5质疑函应当使用范本，详见招标文件第六章。供应商提出质疑应当提交质疑函和必要的证明材料，应当包括下列内容：</w:t>
      </w:r>
    </w:p>
    <w:p w14:paraId="26370729">
      <w:pPr>
        <w:spacing w:line="500" w:lineRule="exact"/>
        <w:ind w:firstLine="480"/>
        <w:jc w:val="left"/>
        <w:rPr>
          <w:rFonts w:hint="default" w:ascii="Calibri" w:hAnsi="Calibri" w:eastAsia="宋体" w:cs="Times New Roman"/>
          <w:kern w:val="0"/>
          <w:sz w:val="24"/>
          <w:szCs w:val="24"/>
        </w:rPr>
      </w:pPr>
      <w:r>
        <w:rPr>
          <w:rFonts w:hint="eastAsia" w:ascii="Calibri" w:hAnsi="Calibri" w:eastAsia="宋体" w:cs="Times New Roman"/>
          <w:kern w:val="0"/>
          <w:sz w:val="24"/>
          <w:szCs w:val="24"/>
        </w:rPr>
        <w:t>（1）供应商的姓名或者名称、地址、邮编、联系人及联系电话；</w:t>
      </w:r>
    </w:p>
    <w:p w14:paraId="2EA6A76A">
      <w:pPr>
        <w:spacing w:line="500" w:lineRule="exact"/>
        <w:ind w:firstLine="480"/>
        <w:jc w:val="left"/>
        <w:rPr>
          <w:rFonts w:hint="default" w:ascii="Calibri" w:hAnsi="Calibri" w:eastAsia="宋体" w:cs="Times New Roman"/>
          <w:kern w:val="0"/>
          <w:sz w:val="24"/>
          <w:szCs w:val="24"/>
        </w:rPr>
      </w:pPr>
      <w:r>
        <w:rPr>
          <w:rFonts w:hint="eastAsia" w:ascii="Calibri" w:hAnsi="Calibri" w:eastAsia="宋体" w:cs="Times New Roman"/>
          <w:kern w:val="0"/>
          <w:sz w:val="24"/>
          <w:szCs w:val="24"/>
        </w:rPr>
        <w:t>（2）质疑项目的名称、编号；</w:t>
      </w:r>
    </w:p>
    <w:p w14:paraId="40C749D4">
      <w:pPr>
        <w:spacing w:line="500" w:lineRule="exact"/>
        <w:ind w:firstLine="480"/>
        <w:jc w:val="left"/>
        <w:rPr>
          <w:rFonts w:hint="default" w:ascii="Calibri" w:hAnsi="Calibri" w:eastAsia="宋体" w:cs="Times New Roman"/>
          <w:kern w:val="0"/>
          <w:sz w:val="24"/>
          <w:szCs w:val="24"/>
        </w:rPr>
      </w:pPr>
      <w:r>
        <w:rPr>
          <w:rFonts w:hint="eastAsia" w:ascii="Calibri" w:hAnsi="Calibri" w:eastAsia="宋体" w:cs="Times New Roman"/>
          <w:kern w:val="0"/>
          <w:sz w:val="24"/>
          <w:szCs w:val="24"/>
        </w:rPr>
        <w:t>（3）具体、明确的质疑事项和与质疑事项相关的请求；</w:t>
      </w:r>
    </w:p>
    <w:p w14:paraId="58F64AB6">
      <w:pPr>
        <w:spacing w:line="500" w:lineRule="exact"/>
        <w:ind w:firstLine="480"/>
        <w:jc w:val="left"/>
        <w:rPr>
          <w:rFonts w:hint="default" w:ascii="Calibri" w:hAnsi="Calibri" w:eastAsia="宋体" w:cs="Times New Roman"/>
          <w:kern w:val="0"/>
          <w:sz w:val="24"/>
          <w:szCs w:val="24"/>
        </w:rPr>
      </w:pPr>
      <w:r>
        <w:rPr>
          <w:rFonts w:hint="eastAsia" w:ascii="Calibri" w:hAnsi="Calibri" w:eastAsia="宋体" w:cs="Times New Roman"/>
          <w:kern w:val="0"/>
          <w:sz w:val="24"/>
          <w:szCs w:val="24"/>
        </w:rPr>
        <w:t>（4）事实依据；</w:t>
      </w:r>
    </w:p>
    <w:p w14:paraId="043CFBF0">
      <w:pPr>
        <w:spacing w:line="500" w:lineRule="exact"/>
        <w:ind w:firstLine="480"/>
        <w:jc w:val="left"/>
        <w:rPr>
          <w:rFonts w:hint="default" w:ascii="Calibri" w:hAnsi="Calibri" w:eastAsia="宋体" w:cs="Times New Roman"/>
          <w:kern w:val="0"/>
          <w:sz w:val="24"/>
          <w:szCs w:val="24"/>
        </w:rPr>
      </w:pPr>
      <w:r>
        <w:rPr>
          <w:rFonts w:hint="eastAsia" w:ascii="Calibri" w:hAnsi="Calibri" w:eastAsia="宋体" w:cs="Times New Roman"/>
          <w:kern w:val="0"/>
          <w:sz w:val="24"/>
          <w:szCs w:val="24"/>
        </w:rPr>
        <w:t>（5）必要的法律依据；</w:t>
      </w:r>
    </w:p>
    <w:p w14:paraId="1FFC1A37">
      <w:pPr>
        <w:spacing w:line="500" w:lineRule="exact"/>
        <w:ind w:firstLine="480"/>
        <w:jc w:val="left"/>
        <w:rPr>
          <w:rFonts w:hint="default" w:ascii="Calibri" w:hAnsi="Calibri" w:eastAsia="宋体" w:cs="Times New Roman"/>
          <w:kern w:val="0"/>
          <w:sz w:val="24"/>
          <w:szCs w:val="24"/>
        </w:rPr>
      </w:pPr>
      <w:r>
        <w:rPr>
          <w:rFonts w:hint="eastAsia" w:ascii="Calibri" w:hAnsi="Calibri" w:eastAsia="宋体" w:cs="Times New Roman"/>
          <w:kern w:val="0"/>
          <w:sz w:val="24"/>
          <w:szCs w:val="24"/>
        </w:rPr>
        <w:t>（6）提出质疑的日期；</w:t>
      </w:r>
    </w:p>
    <w:p w14:paraId="7CC8ABBC">
      <w:pPr>
        <w:spacing w:line="500" w:lineRule="exact"/>
        <w:ind w:firstLine="480"/>
        <w:jc w:val="left"/>
        <w:rPr>
          <w:rFonts w:hint="default" w:ascii="Calibri" w:hAnsi="Calibri" w:eastAsia="宋体" w:cs="Times New Roman"/>
          <w:kern w:val="0"/>
          <w:sz w:val="24"/>
          <w:szCs w:val="24"/>
        </w:rPr>
      </w:pPr>
      <w:r>
        <w:rPr>
          <w:rFonts w:hint="eastAsia" w:ascii="Calibri" w:hAnsi="Calibri" w:eastAsia="宋体" w:cs="Times New Roman"/>
          <w:kern w:val="0"/>
          <w:sz w:val="24"/>
          <w:szCs w:val="24"/>
        </w:rPr>
        <w:t>（7）必要的证明材料；</w:t>
      </w:r>
    </w:p>
    <w:p w14:paraId="4BFF4B0F">
      <w:pPr>
        <w:spacing w:line="500" w:lineRule="exact"/>
        <w:ind w:firstLine="480"/>
        <w:jc w:val="left"/>
        <w:rPr>
          <w:rFonts w:hint="default" w:ascii="Calibri" w:hAnsi="Calibri" w:eastAsia="宋体" w:cs="Times New Roman"/>
          <w:kern w:val="0"/>
          <w:sz w:val="24"/>
          <w:szCs w:val="24"/>
        </w:rPr>
      </w:pPr>
      <w:r>
        <w:rPr>
          <w:rFonts w:hint="eastAsia" w:ascii="Calibri" w:hAnsi="Calibri" w:eastAsia="宋体" w:cs="Times New Roman"/>
          <w:kern w:val="0"/>
          <w:sz w:val="24"/>
          <w:szCs w:val="24"/>
        </w:rPr>
        <w:t>（8）营业执照复印件及授权委托书原件、法定代表人（单位负责人）身份证复印件、委托代理人身份证复印件。</w:t>
      </w:r>
    </w:p>
    <w:p w14:paraId="3EA568B3">
      <w:pPr>
        <w:spacing w:line="500" w:lineRule="exact"/>
        <w:ind w:firstLine="480"/>
        <w:jc w:val="left"/>
        <w:rPr>
          <w:rFonts w:hint="default" w:ascii="Calibri" w:hAnsi="Calibri" w:eastAsia="宋体" w:cs="Times New Roman"/>
          <w:kern w:val="0"/>
          <w:sz w:val="24"/>
          <w:szCs w:val="24"/>
        </w:rPr>
      </w:pPr>
      <w:r>
        <w:rPr>
          <w:rFonts w:hint="eastAsia" w:ascii="Calibri" w:hAnsi="Calibri" w:eastAsia="宋体" w:cs="Times New Roman"/>
          <w:kern w:val="0"/>
          <w:sz w:val="24"/>
          <w:szCs w:val="24"/>
        </w:rPr>
        <w:t>供应商为自然人的，应当由本人签字；供应商为法人或者其他组织的，应当由法定代表人、主要负责人，或者其委托代理人签字或者盖章，并加盖单位公章。</w:t>
      </w:r>
    </w:p>
    <w:p w14:paraId="44C46504">
      <w:pPr>
        <w:keepNext/>
        <w:keepLines/>
        <w:widowControl w:val="0"/>
        <w:spacing w:before="0" w:after="0" w:line="360" w:lineRule="auto"/>
        <w:ind w:firstLine="560"/>
        <w:jc w:val="left"/>
        <w:outlineLvl w:val="2"/>
        <w:rPr>
          <w:rFonts w:hint="default" w:ascii="Calibri" w:hAnsi="Calibri" w:eastAsia="宋体" w:cs="Times New Roman"/>
          <w:b/>
          <w:bCs/>
          <w:kern w:val="0"/>
          <w:sz w:val="24"/>
          <w:szCs w:val="24"/>
          <w:lang w:val="en-US" w:eastAsia="zh-CN" w:bidi="ar-SA"/>
        </w:rPr>
      </w:pPr>
      <w:r>
        <w:rPr>
          <w:rFonts w:hint="eastAsia" w:ascii="Calibri" w:hAnsi="Calibri" w:eastAsia="宋体" w:cs="Times New Roman"/>
          <w:b/>
          <w:bCs/>
          <w:kern w:val="0"/>
          <w:sz w:val="28"/>
          <w:szCs w:val="28"/>
          <w:lang w:val="en-US" w:eastAsia="zh-CN" w:bidi="ar-SA"/>
        </w:rPr>
        <w:t>36、质疑函的受理和答复</w:t>
      </w:r>
    </w:p>
    <w:p w14:paraId="43BD917B">
      <w:pPr>
        <w:spacing w:line="500" w:lineRule="exact"/>
        <w:ind w:firstLine="480"/>
        <w:jc w:val="left"/>
        <w:rPr>
          <w:rFonts w:hint="default" w:ascii="Calibri" w:hAnsi="Calibri" w:eastAsia="宋体" w:cs="Times New Roman"/>
          <w:kern w:val="0"/>
          <w:sz w:val="24"/>
          <w:szCs w:val="24"/>
        </w:rPr>
      </w:pPr>
      <w:r>
        <w:rPr>
          <w:rFonts w:hint="eastAsia" w:ascii="Calibri" w:hAnsi="Calibri" w:eastAsia="宋体" w:cs="Times New Roman"/>
          <w:kern w:val="0"/>
          <w:sz w:val="24"/>
          <w:szCs w:val="24"/>
        </w:rPr>
        <w:t>36.1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ascii="Calibri" w:hAnsi="Calibri" w:eastAsia="宋体" w:cs="Times New Roman"/>
          <w:kern w:val="0"/>
          <w:sz w:val="24"/>
          <w:szCs w:val="24"/>
          <w:lang w:eastAsia="zh-CN"/>
        </w:rPr>
        <w:t>采购中心</w:t>
      </w:r>
      <w:r>
        <w:rPr>
          <w:rFonts w:hint="eastAsia" w:ascii="Calibri" w:hAnsi="Calibri" w:eastAsia="宋体" w:cs="Times New Roman"/>
          <w:kern w:val="0"/>
          <w:sz w:val="24"/>
          <w:szCs w:val="24"/>
        </w:rPr>
        <w:t>不负责搜集必要的证明材料等工作。</w:t>
      </w:r>
    </w:p>
    <w:p w14:paraId="1D1CE9E8">
      <w:pPr>
        <w:spacing w:line="500" w:lineRule="exact"/>
        <w:ind w:firstLine="480"/>
        <w:jc w:val="left"/>
        <w:rPr>
          <w:rFonts w:hint="default" w:ascii="Calibri" w:hAnsi="Calibri" w:eastAsia="宋体" w:cs="Times New Roman"/>
          <w:kern w:val="0"/>
          <w:sz w:val="24"/>
          <w:szCs w:val="24"/>
        </w:rPr>
      </w:pPr>
      <w:r>
        <w:rPr>
          <w:rFonts w:hint="eastAsia" w:ascii="Calibri" w:hAnsi="Calibri" w:eastAsia="宋体" w:cs="Times New Roman"/>
          <w:kern w:val="0"/>
          <w:sz w:val="24"/>
          <w:szCs w:val="24"/>
        </w:rPr>
        <w:t>36.2对符合法定要求的质疑，采购人、</w:t>
      </w:r>
      <w:r>
        <w:rPr>
          <w:rFonts w:hint="eastAsia" w:ascii="Calibri" w:hAnsi="Calibri" w:eastAsia="宋体" w:cs="Times New Roman"/>
          <w:kern w:val="0"/>
          <w:sz w:val="24"/>
          <w:szCs w:val="24"/>
          <w:lang w:eastAsia="zh-CN"/>
        </w:rPr>
        <w:t>采购中心</w:t>
      </w:r>
      <w:r>
        <w:rPr>
          <w:rFonts w:hint="eastAsia" w:ascii="Calibri" w:hAnsi="Calibri" w:eastAsia="宋体" w:cs="Times New Roman"/>
          <w:kern w:val="0"/>
          <w:sz w:val="24"/>
          <w:szCs w:val="24"/>
          <w:lang w:val="en-US" w:eastAsia="zh-CN"/>
        </w:rPr>
        <w:t>将</w:t>
      </w:r>
      <w:r>
        <w:rPr>
          <w:rFonts w:hint="eastAsia" w:ascii="Calibri" w:hAnsi="Calibri" w:eastAsia="宋体" w:cs="Times New Roman"/>
          <w:kern w:val="0"/>
          <w:sz w:val="24"/>
          <w:szCs w:val="24"/>
        </w:rPr>
        <w:t>接收。在处理过程中，发现需要质疑供应商进一步补充必要的证明材料的，质疑供应商应在法定的时间内提供，质疑答复时间相应顺延。质疑供应商不能按时提供必要的证明材料的，视同放弃质疑。</w:t>
      </w:r>
    </w:p>
    <w:p w14:paraId="76836D43">
      <w:pPr>
        <w:spacing w:line="500" w:lineRule="exact"/>
        <w:ind w:firstLine="480"/>
        <w:jc w:val="left"/>
        <w:rPr>
          <w:rFonts w:hint="default" w:ascii="Calibri" w:hAnsi="Calibri" w:eastAsia="宋体" w:cs="Times New Roman"/>
          <w:kern w:val="0"/>
          <w:sz w:val="24"/>
          <w:szCs w:val="24"/>
        </w:rPr>
      </w:pPr>
      <w:r>
        <w:rPr>
          <w:rFonts w:hint="eastAsia" w:ascii="Calibri" w:hAnsi="Calibri" w:eastAsia="宋体" w:cs="Times New Roman"/>
          <w:kern w:val="0"/>
          <w:sz w:val="24"/>
          <w:szCs w:val="24"/>
        </w:rPr>
        <w:t>36.3对不符合质疑要求的，采购人、</w:t>
      </w:r>
      <w:r>
        <w:rPr>
          <w:rFonts w:hint="eastAsia" w:ascii="Calibri" w:hAnsi="Calibri" w:eastAsia="宋体" w:cs="Times New Roman"/>
          <w:kern w:val="0"/>
          <w:sz w:val="24"/>
          <w:szCs w:val="24"/>
          <w:lang w:eastAsia="zh-CN"/>
        </w:rPr>
        <w:t>采购中心</w:t>
      </w:r>
      <w:r>
        <w:rPr>
          <w:rFonts w:hint="eastAsia" w:ascii="Calibri" w:hAnsi="Calibri" w:eastAsia="宋体" w:cs="Times New Roman"/>
          <w:kern w:val="0"/>
          <w:sz w:val="24"/>
          <w:szCs w:val="24"/>
        </w:rPr>
        <w:t>有权要求其补充必要的证明材料，质疑供应商未在法定时间内补充必要的证明材料的，视同放弃质疑。</w:t>
      </w:r>
    </w:p>
    <w:p w14:paraId="71E52CCA">
      <w:pPr>
        <w:spacing w:line="500" w:lineRule="exact"/>
        <w:ind w:firstLine="480"/>
        <w:jc w:val="left"/>
        <w:rPr>
          <w:rFonts w:hint="default" w:ascii="Calibri" w:hAnsi="Calibri" w:eastAsia="宋体" w:cs="Times New Roman"/>
          <w:kern w:val="0"/>
          <w:sz w:val="24"/>
          <w:szCs w:val="24"/>
        </w:rPr>
      </w:pPr>
      <w:r>
        <w:rPr>
          <w:rFonts w:hint="eastAsia" w:ascii="Calibri" w:hAnsi="Calibri" w:eastAsia="宋体" w:cs="Times New Roman"/>
          <w:kern w:val="0"/>
          <w:sz w:val="24"/>
          <w:szCs w:val="24"/>
        </w:rPr>
        <w:t>36.4以下情形的质疑依法不予受理：</w:t>
      </w:r>
    </w:p>
    <w:p w14:paraId="31BDD68F">
      <w:pPr>
        <w:spacing w:line="500" w:lineRule="exact"/>
        <w:ind w:firstLine="480"/>
        <w:jc w:val="left"/>
        <w:rPr>
          <w:rFonts w:hint="default" w:ascii="Calibri" w:hAnsi="Calibri" w:eastAsia="宋体" w:cs="Times New Roman"/>
          <w:kern w:val="0"/>
          <w:sz w:val="24"/>
          <w:szCs w:val="24"/>
        </w:rPr>
      </w:pPr>
      <w:r>
        <w:rPr>
          <w:rFonts w:hint="eastAsia" w:ascii="Calibri" w:hAnsi="Calibri" w:eastAsia="宋体" w:cs="Times New Roman"/>
          <w:kern w:val="0"/>
          <w:sz w:val="24"/>
          <w:szCs w:val="24"/>
        </w:rPr>
        <w:t>（1）内容不符合《政府采购质疑和投诉办法》第十二条规定的质疑。</w:t>
      </w:r>
    </w:p>
    <w:p w14:paraId="12BC563A">
      <w:pPr>
        <w:spacing w:line="500" w:lineRule="exact"/>
        <w:ind w:firstLine="480"/>
        <w:jc w:val="left"/>
        <w:rPr>
          <w:rFonts w:hint="default" w:ascii="Calibri" w:hAnsi="Calibri" w:eastAsia="宋体" w:cs="Times New Roman"/>
          <w:kern w:val="0"/>
          <w:sz w:val="24"/>
          <w:szCs w:val="24"/>
        </w:rPr>
      </w:pPr>
      <w:r>
        <w:rPr>
          <w:rFonts w:hint="eastAsia" w:ascii="Calibri" w:hAnsi="Calibri" w:eastAsia="宋体" w:cs="Times New Roman"/>
          <w:kern w:val="0"/>
          <w:sz w:val="24"/>
          <w:szCs w:val="24"/>
        </w:rPr>
        <w:t>（2）超出政府采购法定期限的质疑。</w:t>
      </w:r>
    </w:p>
    <w:p w14:paraId="0410D2C6">
      <w:pPr>
        <w:spacing w:line="500" w:lineRule="exact"/>
        <w:ind w:firstLine="480"/>
        <w:jc w:val="left"/>
        <w:rPr>
          <w:rFonts w:hint="default" w:ascii="Calibri" w:hAnsi="Calibri" w:eastAsia="宋体" w:cs="Times New Roman"/>
          <w:kern w:val="0"/>
          <w:sz w:val="24"/>
          <w:szCs w:val="24"/>
        </w:rPr>
      </w:pPr>
      <w:r>
        <w:rPr>
          <w:rFonts w:hint="eastAsia" w:ascii="Calibri" w:hAnsi="Calibri" w:eastAsia="宋体" w:cs="Times New Roman"/>
          <w:kern w:val="0"/>
          <w:sz w:val="24"/>
          <w:szCs w:val="24"/>
        </w:rPr>
        <w:t>（3）以传真、电子邮件等方式递交的非原件形式的质疑。</w:t>
      </w:r>
    </w:p>
    <w:p w14:paraId="37BE0A2F">
      <w:pPr>
        <w:spacing w:line="500" w:lineRule="exact"/>
        <w:ind w:firstLine="480"/>
        <w:jc w:val="left"/>
        <w:rPr>
          <w:rFonts w:hint="default" w:ascii="Calibri" w:hAnsi="Calibri" w:eastAsia="宋体" w:cs="Times New Roman"/>
          <w:kern w:val="0"/>
          <w:sz w:val="24"/>
          <w:szCs w:val="24"/>
        </w:rPr>
      </w:pPr>
      <w:r>
        <w:rPr>
          <w:rFonts w:hint="eastAsia" w:ascii="Calibri" w:hAnsi="Calibri" w:eastAsia="宋体" w:cs="Times New Roman"/>
          <w:kern w:val="0"/>
          <w:sz w:val="24"/>
          <w:szCs w:val="24"/>
        </w:rPr>
        <w:t>（4）未参与采购活动或在采购活动中自身权益未受到损害的供应商提出的质疑。</w:t>
      </w:r>
    </w:p>
    <w:p w14:paraId="721A4273">
      <w:pPr>
        <w:spacing w:line="500" w:lineRule="exact"/>
        <w:ind w:firstLine="480"/>
        <w:jc w:val="left"/>
        <w:rPr>
          <w:rFonts w:hint="default" w:ascii="Calibri" w:hAnsi="Calibri" w:eastAsia="宋体" w:cs="Times New Roman"/>
          <w:kern w:val="0"/>
          <w:sz w:val="24"/>
          <w:szCs w:val="24"/>
        </w:rPr>
      </w:pPr>
      <w:r>
        <w:rPr>
          <w:rFonts w:hint="eastAsia" w:ascii="Calibri" w:hAnsi="Calibri" w:eastAsia="宋体" w:cs="Times New Roman"/>
          <w:kern w:val="0"/>
          <w:sz w:val="24"/>
          <w:szCs w:val="24"/>
        </w:rPr>
        <w:t>（5）供应商组成联合体，联合体中任何一方或多方未按要求签字（盖章）、加盖公章的质疑。</w:t>
      </w:r>
    </w:p>
    <w:p w14:paraId="31220A57">
      <w:pPr>
        <w:spacing w:line="500" w:lineRule="exact"/>
        <w:ind w:firstLine="480"/>
        <w:jc w:val="left"/>
        <w:rPr>
          <w:rFonts w:hint="default" w:ascii="Calibri" w:hAnsi="Calibri" w:eastAsia="宋体" w:cs="Times New Roman"/>
          <w:kern w:val="0"/>
          <w:sz w:val="24"/>
          <w:szCs w:val="24"/>
        </w:rPr>
      </w:pPr>
      <w:r>
        <w:rPr>
          <w:rFonts w:hint="eastAsia" w:ascii="Calibri" w:hAnsi="Calibri" w:eastAsia="宋体" w:cs="Times New Roman"/>
          <w:kern w:val="0"/>
          <w:sz w:val="24"/>
          <w:szCs w:val="24"/>
        </w:rPr>
        <w:t>36.5采购人、</w:t>
      </w:r>
      <w:r>
        <w:rPr>
          <w:rFonts w:hint="eastAsia" w:ascii="Calibri" w:hAnsi="Calibri" w:eastAsia="宋体" w:cs="Times New Roman"/>
          <w:kern w:val="0"/>
          <w:sz w:val="24"/>
          <w:szCs w:val="24"/>
          <w:lang w:eastAsia="zh-CN"/>
        </w:rPr>
        <w:t>采购中心</w:t>
      </w:r>
      <w:r>
        <w:rPr>
          <w:rFonts w:hint="eastAsia" w:ascii="Calibri" w:hAnsi="Calibri" w:eastAsia="宋体" w:cs="Times New Roman"/>
          <w:kern w:val="0"/>
          <w:sz w:val="24"/>
          <w:szCs w:val="24"/>
        </w:rPr>
        <w:t>依法受理的质疑，将按照政府采购有关规定，在法定期限内作出答复。</w:t>
      </w:r>
    </w:p>
    <w:p w14:paraId="1CFAA7AA">
      <w:pPr>
        <w:keepNext/>
        <w:keepLines/>
        <w:widowControl w:val="0"/>
        <w:spacing w:before="0" w:after="0" w:line="360" w:lineRule="auto"/>
        <w:ind w:firstLine="560"/>
        <w:jc w:val="left"/>
        <w:outlineLvl w:val="2"/>
        <w:rPr>
          <w:rFonts w:hint="default" w:ascii="Calibri" w:hAnsi="Calibri" w:eastAsia="宋体" w:cs="Times New Roman"/>
          <w:b/>
          <w:bCs/>
          <w:kern w:val="0"/>
          <w:sz w:val="28"/>
          <w:szCs w:val="28"/>
          <w:lang w:val="en-US" w:eastAsia="zh-CN" w:bidi="ar-SA"/>
        </w:rPr>
      </w:pPr>
      <w:r>
        <w:rPr>
          <w:rFonts w:hint="eastAsia" w:ascii="Calibri" w:hAnsi="Calibri" w:eastAsia="宋体" w:cs="Times New Roman"/>
          <w:b/>
          <w:bCs/>
          <w:kern w:val="0"/>
          <w:sz w:val="28"/>
          <w:szCs w:val="28"/>
          <w:lang w:val="en-US" w:eastAsia="zh-CN" w:bidi="ar-SA"/>
        </w:rPr>
        <w:t>37、质疑处理</w:t>
      </w:r>
    </w:p>
    <w:p w14:paraId="671E5B06">
      <w:pPr>
        <w:spacing w:line="500" w:lineRule="exact"/>
        <w:ind w:firstLine="480"/>
        <w:jc w:val="left"/>
        <w:rPr>
          <w:rFonts w:hint="default" w:ascii="Calibri" w:hAnsi="Calibri" w:eastAsia="宋体" w:cs="Times New Roman"/>
          <w:kern w:val="0"/>
          <w:sz w:val="24"/>
          <w:szCs w:val="24"/>
        </w:rPr>
      </w:pPr>
      <w:r>
        <w:rPr>
          <w:rFonts w:hint="eastAsia" w:ascii="Calibri" w:hAnsi="Calibri" w:eastAsia="宋体" w:cs="Times New Roman"/>
          <w:kern w:val="0"/>
          <w:sz w:val="24"/>
          <w:szCs w:val="24"/>
        </w:rPr>
        <w:t>37.1质疑供应商未按照法定程序进行质疑投诉的，视为一般失信行为。</w:t>
      </w:r>
    </w:p>
    <w:p w14:paraId="3BAC05C8">
      <w:pPr>
        <w:spacing w:line="500" w:lineRule="exact"/>
        <w:ind w:firstLine="480"/>
        <w:jc w:val="left"/>
        <w:rPr>
          <w:rFonts w:hint="default" w:ascii="Calibri" w:hAnsi="Calibri" w:eastAsia="宋体" w:cs="Times New Roman"/>
          <w:kern w:val="0"/>
          <w:sz w:val="24"/>
          <w:szCs w:val="24"/>
        </w:rPr>
      </w:pPr>
      <w:r>
        <w:rPr>
          <w:rFonts w:hint="eastAsia" w:ascii="Calibri" w:hAnsi="Calibri" w:eastAsia="宋体" w:cs="Times New Roman"/>
          <w:kern w:val="0"/>
          <w:sz w:val="24"/>
          <w:szCs w:val="24"/>
        </w:rPr>
        <w:t>37.2质疑供应商不配合或者采取不正当手段干扰政府采购质疑、投诉处理工作的，视为一般失信行为。</w:t>
      </w:r>
    </w:p>
    <w:p w14:paraId="266285C0">
      <w:pPr>
        <w:spacing w:line="500" w:lineRule="exact"/>
        <w:ind w:firstLine="480"/>
        <w:jc w:val="left"/>
        <w:rPr>
          <w:rFonts w:hint="default" w:ascii="Calibri" w:hAnsi="Calibri" w:eastAsia="宋体" w:cs="Times New Roman"/>
          <w:kern w:val="0"/>
          <w:sz w:val="24"/>
          <w:szCs w:val="24"/>
        </w:rPr>
      </w:pPr>
      <w:r>
        <w:rPr>
          <w:rFonts w:hint="eastAsia" w:ascii="Calibri" w:hAnsi="Calibri" w:eastAsia="宋体" w:cs="Times New Roman"/>
          <w:kern w:val="0"/>
          <w:sz w:val="24"/>
          <w:szCs w:val="24"/>
        </w:rPr>
        <w:t>37.3质疑供应商投诉受理期间，就同一事项多头举报，干扰财政部门投诉处理的，视为一般失信行为。</w:t>
      </w:r>
    </w:p>
    <w:p w14:paraId="686B11F9">
      <w:pPr>
        <w:spacing w:line="500" w:lineRule="exact"/>
        <w:ind w:firstLine="480"/>
        <w:jc w:val="left"/>
        <w:rPr>
          <w:rFonts w:hint="default" w:ascii="Calibri" w:hAnsi="Calibri" w:eastAsia="宋体" w:cs="Times New Roman"/>
          <w:kern w:val="0"/>
          <w:sz w:val="24"/>
          <w:szCs w:val="24"/>
        </w:rPr>
      </w:pPr>
      <w:r>
        <w:rPr>
          <w:rFonts w:hint="eastAsia" w:ascii="Calibri" w:hAnsi="Calibri" w:eastAsia="宋体" w:cs="Times New Roman"/>
          <w:kern w:val="0"/>
          <w:sz w:val="24"/>
          <w:szCs w:val="24"/>
        </w:rPr>
        <w:t>37.4质疑供应商在全国范围12个月内三次以上质疑查无实据的，视为一般失信行为。</w:t>
      </w:r>
    </w:p>
    <w:p w14:paraId="2411A4D9">
      <w:pPr>
        <w:spacing w:line="500" w:lineRule="exact"/>
        <w:ind w:firstLine="480"/>
        <w:jc w:val="left"/>
        <w:rPr>
          <w:rFonts w:hint="default" w:ascii="Calibri" w:hAnsi="Calibri" w:eastAsia="宋体" w:cs="Times New Roman"/>
          <w:kern w:val="0"/>
          <w:sz w:val="24"/>
          <w:szCs w:val="24"/>
        </w:rPr>
      </w:pPr>
      <w:r>
        <w:rPr>
          <w:rFonts w:hint="eastAsia" w:ascii="Calibri" w:hAnsi="Calibri" w:eastAsia="宋体" w:cs="Times New Roman"/>
          <w:kern w:val="0"/>
          <w:sz w:val="24"/>
          <w:szCs w:val="24"/>
        </w:rPr>
        <w:t>37.5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p>
    <w:p w14:paraId="7A6FE8A7">
      <w:pPr>
        <w:spacing w:line="500" w:lineRule="exact"/>
        <w:ind w:firstLine="480"/>
        <w:jc w:val="left"/>
        <w:rPr>
          <w:rFonts w:hint="default" w:ascii="Calibri" w:hAnsi="Calibri" w:eastAsia="宋体" w:cs="Times New Roman"/>
          <w:kern w:val="0"/>
          <w:sz w:val="24"/>
          <w:szCs w:val="24"/>
        </w:rPr>
      </w:pPr>
      <w:r>
        <w:rPr>
          <w:rFonts w:hint="eastAsia" w:ascii="Calibri" w:hAnsi="Calibri" w:eastAsia="宋体" w:cs="Times New Roman"/>
          <w:kern w:val="0"/>
          <w:sz w:val="24"/>
          <w:szCs w:val="24"/>
        </w:rPr>
        <w:t>37.6质疑供应商在全国范围12个月内三次以上投诉查无实据的，视为严重失信行为。</w:t>
      </w:r>
    </w:p>
    <w:p w14:paraId="43C95BB4">
      <w:pPr>
        <w:spacing w:line="500" w:lineRule="exact"/>
        <w:ind w:firstLine="480"/>
        <w:jc w:val="left"/>
        <w:rPr>
          <w:rFonts w:hint="default" w:ascii="Calibri" w:hAnsi="Calibri" w:eastAsia="宋体" w:cs="Times New Roman"/>
          <w:kern w:val="0"/>
          <w:sz w:val="24"/>
          <w:szCs w:val="24"/>
        </w:rPr>
      </w:pPr>
      <w:r>
        <w:rPr>
          <w:rFonts w:hint="eastAsia" w:ascii="Calibri" w:hAnsi="Calibri" w:eastAsia="宋体" w:cs="Times New Roman"/>
          <w:kern w:val="0"/>
          <w:sz w:val="24"/>
          <w:szCs w:val="24"/>
        </w:rPr>
        <w:t>37.7未尽事宜，依照有关法律、法规执行。</w:t>
      </w:r>
    </w:p>
    <w:p w14:paraId="071D87F2">
      <w:pPr>
        <w:ind w:firstLine="420"/>
        <w:rPr>
          <w:rFonts w:ascii="Times New Roman" w:hAnsi="Times New Roman" w:eastAsia="宋体" w:cs="Times New Roman"/>
          <w:color w:val="000000"/>
          <w:szCs w:val="21"/>
          <w:highlight w:val="none"/>
        </w:rPr>
      </w:pPr>
      <w:bookmarkStart w:id="124" w:name="_Toc20823314"/>
      <w:bookmarkStart w:id="125" w:name="_Toc479757207"/>
      <w:bookmarkStart w:id="126" w:name="_Toc120614221"/>
      <w:bookmarkStart w:id="127" w:name="_Toc16938558"/>
      <w:bookmarkStart w:id="128" w:name="_Toc513029242"/>
    </w:p>
    <w:p w14:paraId="12F50F6E">
      <w:pPr>
        <w:keepNext/>
        <w:keepLines/>
        <w:spacing w:line="360" w:lineRule="auto"/>
        <w:ind w:firstLine="321"/>
        <w:jc w:val="left"/>
        <w:outlineLvl w:val="2"/>
        <w:rPr>
          <w:rFonts w:ascii="宋体" w:hAnsi="宋体" w:eastAsia="宋体" w:cs="宋体"/>
          <w:color w:val="000000"/>
          <w:kern w:val="0"/>
          <w:sz w:val="36"/>
          <w:szCs w:val="20"/>
          <w:highlight w:val="none"/>
        </w:rPr>
      </w:pPr>
      <w:r>
        <w:rPr>
          <w:rFonts w:hint="eastAsia" w:ascii="宋体" w:hAnsi="宋体" w:eastAsia="宋体" w:cs="宋体"/>
          <w:b/>
          <w:bCs/>
          <w:color w:val="000000"/>
          <w:kern w:val="0"/>
          <w:sz w:val="32"/>
          <w:szCs w:val="32"/>
          <w:highlight w:val="none"/>
        </w:rPr>
        <w:t>八、其他事项</w:t>
      </w:r>
    </w:p>
    <w:p w14:paraId="5E5DB17F">
      <w:pPr>
        <w:spacing w:line="360" w:lineRule="auto"/>
        <w:ind w:firstLine="482"/>
        <w:rPr>
          <w:rFonts w:ascii="宋体" w:hAnsi="宋体" w:eastAsia="宋体" w:cs="宋体"/>
          <w:b/>
          <w:bCs/>
          <w:color w:val="000000"/>
          <w:kern w:val="0"/>
          <w:sz w:val="24"/>
          <w:highlight w:val="none"/>
        </w:rPr>
      </w:pPr>
      <w:r>
        <w:rPr>
          <w:rFonts w:hint="eastAsia" w:ascii="宋体" w:hAnsi="宋体" w:eastAsia="宋体" w:cs="宋体"/>
          <w:b/>
          <w:bCs/>
          <w:color w:val="000000"/>
          <w:kern w:val="0"/>
          <w:sz w:val="24"/>
          <w:highlight w:val="none"/>
        </w:rPr>
        <w:t>3</w:t>
      </w:r>
      <w:r>
        <w:rPr>
          <w:rFonts w:hint="eastAsia" w:ascii="宋体" w:hAnsi="宋体" w:eastAsia="宋体" w:cs="宋体"/>
          <w:b/>
          <w:bCs/>
          <w:color w:val="000000"/>
          <w:kern w:val="0"/>
          <w:sz w:val="24"/>
          <w:highlight w:val="none"/>
          <w:lang w:val="en-US" w:eastAsia="zh-CN"/>
        </w:rPr>
        <w:t>8</w:t>
      </w:r>
      <w:r>
        <w:rPr>
          <w:rFonts w:hint="eastAsia" w:ascii="宋体" w:hAnsi="宋体" w:eastAsia="宋体" w:cs="宋体"/>
          <w:b/>
          <w:bCs/>
          <w:color w:val="000000"/>
          <w:kern w:val="0"/>
          <w:sz w:val="24"/>
          <w:highlight w:val="none"/>
        </w:rPr>
        <w:t>、支持中小企业发展</w:t>
      </w:r>
    </w:p>
    <w:p w14:paraId="76B45EC6">
      <w:pPr>
        <w:spacing w:line="500" w:lineRule="exact"/>
        <w:ind w:firstLine="480"/>
        <w:jc w:val="left"/>
        <w:rPr>
          <w:rFonts w:hint="default" w:ascii="Calibri" w:hAnsi="Calibri" w:eastAsia="宋体" w:cs="Times New Roman"/>
          <w:kern w:val="0"/>
          <w:sz w:val="24"/>
          <w:szCs w:val="24"/>
        </w:rPr>
      </w:pPr>
      <w:r>
        <w:rPr>
          <w:rFonts w:hint="eastAsia" w:ascii="Calibri" w:hAnsi="Calibri" w:eastAsia="宋体" w:cs="Times New Roman"/>
          <w:kern w:val="0"/>
          <w:sz w:val="24"/>
          <w:szCs w:val="24"/>
        </w:rPr>
        <w:t>38.1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p>
    <w:p w14:paraId="6A0D76A6">
      <w:pPr>
        <w:spacing w:line="500" w:lineRule="exact"/>
        <w:ind w:firstLine="480"/>
        <w:jc w:val="left"/>
        <w:rPr>
          <w:rFonts w:hint="default" w:ascii="Calibri" w:hAnsi="Calibri" w:eastAsia="宋体" w:cs="Times New Roman"/>
          <w:kern w:val="0"/>
          <w:sz w:val="24"/>
          <w:szCs w:val="24"/>
        </w:rPr>
      </w:pPr>
      <w:r>
        <w:rPr>
          <w:rFonts w:hint="eastAsia" w:ascii="Calibri" w:hAnsi="Calibri" w:eastAsia="宋体" w:cs="Times New Roman"/>
          <w:kern w:val="0"/>
          <w:sz w:val="24"/>
          <w:szCs w:val="24"/>
        </w:rPr>
        <w:t>38.2投标人提供的货物全部由小型企业、微型企业、残疾人福利性单位、监狱企业制造的，对其报价给予10%的扣除，用扣除后的价格参与评审。提供的货物既有小微型企业制造，也有大中型企业制造的，不享受该扶持政策。</w:t>
      </w:r>
    </w:p>
    <w:p w14:paraId="16F4D9ED">
      <w:pPr>
        <w:spacing w:line="500" w:lineRule="exact"/>
        <w:ind w:firstLine="480"/>
        <w:jc w:val="left"/>
        <w:rPr>
          <w:rFonts w:hint="eastAsia" w:ascii="Calibri" w:hAnsi="Calibri" w:eastAsia="宋体" w:cs="Times New Roman"/>
          <w:kern w:val="0"/>
          <w:sz w:val="24"/>
          <w:szCs w:val="24"/>
          <w:lang w:eastAsia="zh-CN"/>
        </w:rPr>
      </w:pPr>
      <w:r>
        <w:rPr>
          <w:rFonts w:hint="eastAsia" w:ascii="Calibri" w:hAnsi="Calibri" w:eastAsia="宋体" w:cs="Times New Roman"/>
          <w:kern w:val="0"/>
          <w:sz w:val="24"/>
          <w:szCs w:val="24"/>
        </w:rPr>
        <w:t>38.3参加本项目政府采购活动的供应商享受价格评审优惠的应当提供的材料：</w:t>
      </w:r>
    </w:p>
    <w:p w14:paraId="5879F227">
      <w:pPr>
        <w:spacing w:line="500" w:lineRule="exact"/>
        <w:ind w:firstLine="480"/>
        <w:jc w:val="left"/>
        <w:rPr>
          <w:rFonts w:hint="default" w:ascii="Calibri" w:hAnsi="Calibri" w:eastAsia="宋体" w:cs="Times New Roman"/>
          <w:kern w:val="0"/>
          <w:sz w:val="24"/>
          <w:szCs w:val="24"/>
        </w:rPr>
      </w:pPr>
      <w:r>
        <w:rPr>
          <w:rFonts w:hint="eastAsia" w:ascii="Calibri" w:hAnsi="Calibri" w:eastAsia="宋体" w:cs="Times New Roman"/>
          <w:kern w:val="0"/>
          <w:sz w:val="24"/>
          <w:szCs w:val="24"/>
        </w:rPr>
        <w:t>（1）投标人提供的货物全部由小型企业、微型企业制造的，提供《中小企业声明函》（第六章投标文件格式）。</w:t>
      </w:r>
    </w:p>
    <w:p w14:paraId="59693E09">
      <w:pPr>
        <w:spacing w:line="500" w:lineRule="exact"/>
        <w:ind w:firstLine="480"/>
        <w:jc w:val="left"/>
        <w:rPr>
          <w:rFonts w:hint="default" w:ascii="Calibri" w:hAnsi="Calibri" w:eastAsia="宋体" w:cs="Times New Roman"/>
          <w:kern w:val="0"/>
          <w:sz w:val="24"/>
          <w:szCs w:val="24"/>
        </w:rPr>
      </w:pPr>
      <w:r>
        <w:rPr>
          <w:rFonts w:hint="eastAsia" w:ascii="Calibri" w:hAnsi="Calibri" w:eastAsia="宋体" w:cs="Times New Roman"/>
          <w:kern w:val="0"/>
          <w:sz w:val="24"/>
          <w:szCs w:val="24"/>
        </w:rPr>
        <w:t>（2）符合《关于促进残疾人就业政府采购政策的通知》（财库〔2017〕141号）规定的条件并提供《残疾人福利性单位声明函》（第六章投标文件格式）的残疾人福利性单位视同小型、微型企业。</w:t>
      </w:r>
    </w:p>
    <w:p w14:paraId="13026AC2">
      <w:pPr>
        <w:spacing w:line="500" w:lineRule="exact"/>
        <w:ind w:firstLine="480"/>
        <w:jc w:val="left"/>
        <w:rPr>
          <w:rFonts w:hint="default" w:ascii="Calibri" w:hAnsi="Calibri" w:eastAsia="宋体" w:cs="Times New Roman"/>
          <w:kern w:val="0"/>
          <w:sz w:val="24"/>
          <w:szCs w:val="24"/>
        </w:rPr>
      </w:pPr>
      <w:r>
        <w:rPr>
          <w:rFonts w:hint="eastAsia" w:ascii="Calibri" w:hAnsi="Calibri" w:eastAsia="宋体" w:cs="Times New Roman"/>
          <w:kern w:val="0"/>
          <w:sz w:val="24"/>
          <w:szCs w:val="24"/>
        </w:rPr>
        <w:t>（3）符合《关于政府采购支持监狱企业发展有关问题的通知》（财库〔2014〕68号）规定的监狱企业并提供省级以上监狱管理局、戒毒管理局（含新疆生产建设兵团）出具的属于监狱企业证明文件的，视同小型、微型企业。</w:t>
      </w:r>
    </w:p>
    <w:p w14:paraId="38FB5770">
      <w:pPr>
        <w:spacing w:line="500" w:lineRule="exact"/>
        <w:ind w:firstLine="480"/>
        <w:jc w:val="left"/>
        <w:rPr>
          <w:rFonts w:hint="default" w:ascii="Calibri" w:hAnsi="Calibri" w:eastAsia="宋体" w:cs="Times New Roman"/>
          <w:kern w:val="0"/>
          <w:sz w:val="24"/>
          <w:szCs w:val="24"/>
        </w:rPr>
      </w:pPr>
      <w:r>
        <w:rPr>
          <w:rFonts w:hint="eastAsia" w:ascii="Calibri" w:hAnsi="Calibri" w:eastAsia="宋体" w:cs="Times New Roman"/>
          <w:kern w:val="0"/>
          <w:sz w:val="24"/>
          <w:szCs w:val="24"/>
        </w:rPr>
        <w:t>38.4残疾人福利单位、监狱企业属于小型、微型企业的，不重复享受政策。</w:t>
      </w:r>
    </w:p>
    <w:p w14:paraId="285B778C">
      <w:pPr>
        <w:spacing w:line="500" w:lineRule="exact"/>
        <w:ind w:firstLine="480"/>
        <w:jc w:val="left"/>
        <w:rPr>
          <w:rFonts w:hint="default" w:ascii="Calibri" w:hAnsi="Calibri" w:eastAsia="宋体" w:cs="Times New Roman"/>
          <w:kern w:val="0"/>
          <w:sz w:val="24"/>
          <w:szCs w:val="24"/>
        </w:rPr>
      </w:pPr>
      <w:r>
        <w:rPr>
          <w:rFonts w:hint="eastAsia" w:ascii="Calibri" w:hAnsi="Calibri" w:eastAsia="宋体" w:cs="Times New Roman"/>
          <w:kern w:val="0"/>
          <w:sz w:val="24"/>
          <w:szCs w:val="24"/>
        </w:rPr>
        <w:t>38.5享受扶持政策获得政府采购合同的，小微型企业不得将合同分包给大中型企业，中型企业不得将合同分包给大型企业。</w:t>
      </w:r>
    </w:p>
    <w:p w14:paraId="116A154E">
      <w:pPr>
        <w:spacing w:line="360" w:lineRule="auto"/>
        <w:ind w:firstLine="482"/>
        <w:rPr>
          <w:rFonts w:ascii="宋体" w:hAnsi="宋体" w:eastAsia="宋体" w:cs="宋体"/>
          <w:b/>
          <w:bCs/>
          <w:color w:val="000000"/>
          <w:kern w:val="0"/>
          <w:sz w:val="24"/>
          <w:highlight w:val="none"/>
        </w:rPr>
      </w:pPr>
      <w:r>
        <w:rPr>
          <w:rFonts w:hint="eastAsia" w:ascii="宋体" w:hAnsi="宋体" w:eastAsia="宋体" w:cs="宋体"/>
          <w:b/>
          <w:bCs/>
          <w:color w:val="000000"/>
          <w:kern w:val="0"/>
          <w:sz w:val="24"/>
          <w:highlight w:val="none"/>
        </w:rPr>
        <w:t>3</w:t>
      </w:r>
      <w:r>
        <w:rPr>
          <w:rFonts w:hint="eastAsia" w:ascii="宋体" w:hAnsi="宋体" w:eastAsia="宋体" w:cs="宋体"/>
          <w:b/>
          <w:bCs/>
          <w:color w:val="000000"/>
          <w:kern w:val="0"/>
          <w:sz w:val="24"/>
          <w:highlight w:val="none"/>
          <w:lang w:val="en-US" w:eastAsia="zh-CN"/>
        </w:rPr>
        <w:t>9</w:t>
      </w:r>
      <w:r>
        <w:rPr>
          <w:rFonts w:hint="eastAsia" w:ascii="宋体" w:hAnsi="宋体" w:eastAsia="宋体" w:cs="宋体"/>
          <w:b/>
          <w:bCs/>
          <w:color w:val="000000"/>
          <w:kern w:val="0"/>
          <w:sz w:val="24"/>
          <w:highlight w:val="none"/>
        </w:rPr>
        <w:t>、支持绿色发展</w:t>
      </w:r>
    </w:p>
    <w:p w14:paraId="2C3A6EFC">
      <w:pPr>
        <w:spacing w:line="500" w:lineRule="exact"/>
        <w:ind w:firstLine="480"/>
        <w:jc w:val="left"/>
        <w:rPr>
          <w:rFonts w:hint="default" w:ascii="Calibri" w:hAnsi="Calibri" w:eastAsia="宋体" w:cs="Times New Roman"/>
          <w:kern w:val="0"/>
          <w:sz w:val="24"/>
          <w:szCs w:val="24"/>
        </w:rPr>
      </w:pPr>
      <w:r>
        <w:rPr>
          <w:rFonts w:hint="eastAsia" w:ascii="Calibri" w:hAnsi="Calibri" w:eastAsia="宋体" w:cs="Times New Roman"/>
          <w:kern w:val="0"/>
          <w:sz w:val="24"/>
          <w:szCs w:val="24"/>
        </w:rPr>
        <w:t>39.1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p>
    <w:p w14:paraId="49F0E86A">
      <w:pPr>
        <w:spacing w:line="500" w:lineRule="exact"/>
        <w:ind w:firstLine="480"/>
        <w:jc w:val="left"/>
        <w:rPr>
          <w:rFonts w:hint="default" w:ascii="Calibri" w:hAnsi="Calibri" w:eastAsia="宋体" w:cs="Times New Roman"/>
          <w:kern w:val="0"/>
          <w:sz w:val="24"/>
          <w:szCs w:val="24"/>
        </w:rPr>
      </w:pPr>
      <w:r>
        <w:rPr>
          <w:rFonts w:hint="eastAsia" w:ascii="Calibri" w:hAnsi="Calibri" w:eastAsia="宋体" w:cs="Times New Roman"/>
          <w:kern w:val="0"/>
          <w:sz w:val="24"/>
          <w:szCs w:val="24"/>
        </w:rPr>
        <w:t>39.2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p>
    <w:p w14:paraId="40ACB0EC">
      <w:pPr>
        <w:spacing w:line="360" w:lineRule="auto"/>
        <w:ind w:firstLine="720"/>
        <w:jc w:val="left"/>
        <w:rPr>
          <w:rFonts w:ascii="Times New Roman" w:hAnsi="宋体" w:eastAsia="黑体" w:cs="Times New Roman"/>
          <w:color w:val="000000"/>
          <w:kern w:val="0"/>
          <w:sz w:val="36"/>
          <w:szCs w:val="20"/>
          <w:highlight w:val="none"/>
        </w:rPr>
      </w:pPr>
    </w:p>
    <w:p w14:paraId="64D34267">
      <w:pPr>
        <w:keepNext/>
        <w:keepLines/>
        <w:widowControl w:val="0"/>
        <w:spacing w:before="0" w:after="0" w:line="360" w:lineRule="auto"/>
        <w:ind w:firstLine="560"/>
        <w:jc w:val="left"/>
        <w:outlineLvl w:val="2"/>
        <w:rPr>
          <w:rFonts w:hint="default" w:ascii="Calibri" w:hAnsi="Calibri" w:eastAsia="宋体" w:cs="Times New Roman"/>
          <w:b/>
          <w:bCs/>
          <w:kern w:val="0"/>
          <w:sz w:val="28"/>
          <w:szCs w:val="28"/>
          <w:lang w:val="en-US" w:eastAsia="zh-CN" w:bidi="ar-SA"/>
        </w:rPr>
      </w:pPr>
      <w:r>
        <w:rPr>
          <w:rFonts w:hint="eastAsia" w:ascii="Calibri" w:hAnsi="Calibri" w:eastAsia="宋体" w:cs="Times New Roman"/>
          <w:b/>
          <w:bCs/>
          <w:kern w:val="0"/>
          <w:sz w:val="28"/>
          <w:szCs w:val="28"/>
          <w:lang w:val="en-US" w:eastAsia="zh-CN" w:bidi="ar-SA"/>
        </w:rPr>
        <w:t>40、政府采购需求标准</w:t>
      </w:r>
    </w:p>
    <w:p w14:paraId="0B51C6A9">
      <w:pPr>
        <w:spacing w:line="500" w:lineRule="exact"/>
        <w:ind w:firstLine="480"/>
        <w:jc w:val="left"/>
        <w:rPr>
          <w:rFonts w:hint="default" w:ascii="Calibri" w:hAnsi="Calibri" w:eastAsia="宋体" w:cs="Times New Roman"/>
          <w:kern w:val="0"/>
          <w:sz w:val="24"/>
          <w:szCs w:val="24"/>
        </w:rPr>
      </w:pPr>
      <w:r>
        <w:rPr>
          <w:rFonts w:hint="eastAsia" w:ascii="Calibri" w:hAnsi="Calibri" w:eastAsia="宋体" w:cs="Times New Roman"/>
          <w:kern w:val="0"/>
          <w:sz w:val="24"/>
          <w:szCs w:val="24"/>
        </w:rPr>
        <w:t>40.1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p>
    <w:p w14:paraId="4DB07EA9">
      <w:pPr>
        <w:keepNext/>
        <w:keepLines/>
        <w:widowControl w:val="0"/>
        <w:spacing w:before="0" w:after="0" w:line="360" w:lineRule="auto"/>
        <w:ind w:firstLine="562"/>
        <w:jc w:val="left"/>
        <w:outlineLvl w:val="2"/>
        <w:rPr>
          <w:rFonts w:hint="default" w:ascii="Calibri" w:hAnsi="Calibri" w:eastAsia="Arial" w:cs="Times New Roman"/>
          <w:b/>
          <w:bCs/>
          <w:kern w:val="0"/>
          <w:sz w:val="28"/>
          <w:szCs w:val="28"/>
          <w:lang w:val="en-US" w:eastAsia="zh-CN" w:bidi="ar-SA"/>
        </w:rPr>
      </w:pPr>
      <w:r>
        <w:rPr>
          <w:rFonts w:hint="eastAsia" w:ascii="Calibri" w:hAnsi="Calibri" w:eastAsia="Arial" w:cs="Times New Roman"/>
          <w:b/>
          <w:bCs/>
          <w:kern w:val="0"/>
          <w:sz w:val="28"/>
          <w:szCs w:val="28"/>
          <w:lang w:val="en-US" w:eastAsia="zh-CN" w:bidi="ar-SA"/>
        </w:rPr>
        <w:t>解释权</w:t>
      </w:r>
    </w:p>
    <w:p w14:paraId="6CC21468">
      <w:pPr>
        <w:spacing w:line="500" w:lineRule="exact"/>
        <w:ind w:firstLine="480"/>
        <w:jc w:val="left"/>
        <w:rPr>
          <w:rFonts w:hint="default" w:ascii="Calibri" w:hAnsi="Calibri" w:eastAsia="Arial" w:cs="Times New Roman"/>
          <w:kern w:val="0"/>
          <w:sz w:val="24"/>
          <w:szCs w:val="24"/>
        </w:rPr>
      </w:pPr>
      <w:r>
        <w:rPr>
          <w:rFonts w:hint="eastAsia" w:ascii="Calibri" w:hAnsi="Calibri" w:eastAsia="Arial" w:cs="Times New Roman"/>
          <w:kern w:val="0"/>
          <w:sz w:val="24"/>
          <w:szCs w:val="24"/>
        </w:rPr>
        <w:t>本</w:t>
      </w:r>
      <w:r>
        <w:rPr>
          <w:rFonts w:hint="eastAsia" w:ascii="Calibri" w:hAnsi="Calibri" w:eastAsia="宋体" w:cs="Times New Roman"/>
          <w:kern w:val="0"/>
          <w:sz w:val="24"/>
          <w:szCs w:val="24"/>
          <w:lang w:eastAsia="zh-CN"/>
        </w:rPr>
        <w:t>招标</w:t>
      </w:r>
      <w:r>
        <w:rPr>
          <w:rFonts w:hint="eastAsia" w:ascii="Calibri" w:hAnsi="Calibri" w:eastAsia="Arial" w:cs="Times New Roman"/>
          <w:kern w:val="0"/>
          <w:sz w:val="24"/>
          <w:szCs w:val="24"/>
        </w:rPr>
        <w:t>文件是参照《中华人民共和国政府采购法》、《中华人民共和国政府采购法实施条例》、《</w:t>
      </w:r>
      <w:r>
        <w:rPr>
          <w:rFonts w:hint="eastAsia" w:ascii="宋体" w:hAnsi="宋体" w:eastAsia="宋体" w:cs="宋体"/>
          <w:i w:val="0"/>
          <w:iCs w:val="0"/>
          <w:caps w:val="0"/>
          <w:color w:val="333333"/>
          <w:spacing w:val="0"/>
          <w:kern w:val="0"/>
          <w:sz w:val="24"/>
          <w:szCs w:val="24"/>
          <w:shd w:val="clear" w:color="auto" w:fill="FFFFFF"/>
        </w:rPr>
        <w:t>政府采购货物和服务招标投标管理办法</w:t>
      </w:r>
      <w:r>
        <w:rPr>
          <w:rFonts w:hint="eastAsia" w:ascii="Calibri" w:hAnsi="Calibri" w:eastAsia="Arial" w:cs="Times New Roman"/>
          <w:kern w:val="0"/>
          <w:sz w:val="24"/>
          <w:szCs w:val="24"/>
        </w:rPr>
        <w:t>》及相关法律法规编制，解释权属采购人。</w:t>
      </w:r>
    </w:p>
    <w:p w14:paraId="0AD4DFC9">
      <w:pPr>
        <w:spacing w:line="500" w:lineRule="exact"/>
        <w:ind w:firstLine="480"/>
        <w:jc w:val="left"/>
        <w:rPr>
          <w:rFonts w:hint="eastAsia" w:ascii="Calibri" w:hAnsi="Calibri" w:eastAsia="Arial" w:cs="Times New Roman"/>
          <w:kern w:val="0"/>
          <w:sz w:val="24"/>
          <w:szCs w:val="24"/>
        </w:rPr>
      </w:pPr>
      <w:r>
        <w:rPr>
          <w:rFonts w:hint="eastAsia" w:ascii="Calibri" w:hAnsi="Calibri" w:eastAsia="Arial" w:cs="Times New Roman"/>
          <w:kern w:val="0"/>
          <w:sz w:val="24"/>
          <w:szCs w:val="24"/>
        </w:rPr>
        <w:t>构成本</w:t>
      </w:r>
      <w:r>
        <w:rPr>
          <w:rFonts w:hint="eastAsia" w:ascii="Calibri" w:hAnsi="Calibri" w:eastAsia="宋体" w:cs="Times New Roman"/>
          <w:kern w:val="0"/>
          <w:sz w:val="24"/>
          <w:szCs w:val="24"/>
          <w:lang w:eastAsia="zh-CN"/>
        </w:rPr>
        <w:t>招标文件</w:t>
      </w:r>
      <w:r>
        <w:rPr>
          <w:rFonts w:hint="eastAsia" w:ascii="Calibri" w:hAnsi="Calibri" w:eastAsia="Arial" w:cs="Times New Roman"/>
          <w:kern w:val="0"/>
          <w:sz w:val="24"/>
          <w:szCs w:val="24"/>
        </w:rPr>
        <w:t>的各个组成文件应互为解释，互为说明；如有不明确或不一致，构成合同文件组成内容的，以合同文件约定内容为准，且以专用合同条款约定的合同文件优先顺序解释；除</w:t>
      </w:r>
      <w:r>
        <w:rPr>
          <w:rFonts w:hint="eastAsia" w:ascii="Calibri" w:hAnsi="Calibri" w:eastAsia="宋体" w:cs="Times New Roman"/>
          <w:kern w:val="0"/>
          <w:sz w:val="24"/>
          <w:szCs w:val="24"/>
          <w:lang w:eastAsia="zh-CN"/>
        </w:rPr>
        <w:t>招标文件</w:t>
      </w:r>
      <w:r>
        <w:rPr>
          <w:rFonts w:hint="eastAsia" w:ascii="Calibri" w:hAnsi="Calibri" w:eastAsia="Arial" w:cs="Times New Roman"/>
          <w:kern w:val="0"/>
          <w:sz w:val="24"/>
          <w:szCs w:val="24"/>
        </w:rPr>
        <w:t>中有特别规定外，仅适用于政府采购阶段的规定，按</w:t>
      </w:r>
      <w:r>
        <w:rPr>
          <w:rFonts w:hint="eastAsia" w:ascii="Calibri" w:hAnsi="Calibri" w:eastAsia="宋体" w:cs="Times New Roman"/>
          <w:kern w:val="0"/>
          <w:sz w:val="24"/>
          <w:szCs w:val="24"/>
          <w:lang w:eastAsia="zh-CN"/>
        </w:rPr>
        <w:t>招标</w:t>
      </w:r>
      <w:r>
        <w:rPr>
          <w:rFonts w:hint="eastAsia" w:ascii="Calibri" w:hAnsi="Calibri" w:eastAsia="Arial" w:cs="Times New Roman"/>
          <w:kern w:val="0"/>
          <w:sz w:val="24"/>
          <w:szCs w:val="24"/>
        </w:rPr>
        <w:t>公告（投标邀请书）、</w:t>
      </w:r>
      <w:r>
        <w:rPr>
          <w:rFonts w:hint="eastAsia" w:ascii="Calibri" w:hAnsi="Calibri" w:eastAsia="宋体" w:cs="Times New Roman"/>
          <w:kern w:val="0"/>
          <w:sz w:val="24"/>
          <w:szCs w:val="24"/>
          <w:lang w:eastAsia="zh-CN"/>
        </w:rPr>
        <w:t>投标人</w:t>
      </w:r>
      <w:r>
        <w:rPr>
          <w:rFonts w:hint="eastAsia" w:ascii="Calibri" w:hAnsi="Calibri" w:eastAsia="Arial" w:cs="Times New Roman"/>
          <w:kern w:val="0"/>
          <w:sz w:val="24"/>
          <w:szCs w:val="24"/>
        </w:rPr>
        <w:t>须知、评标办法、</w:t>
      </w:r>
      <w:r>
        <w:rPr>
          <w:rFonts w:hint="eastAsia" w:ascii="Calibri" w:hAnsi="Calibri" w:eastAsia="宋体" w:cs="Times New Roman"/>
          <w:kern w:val="0"/>
          <w:sz w:val="24"/>
          <w:szCs w:val="24"/>
          <w:lang w:eastAsia="zh-CN"/>
        </w:rPr>
        <w:t>投标</w:t>
      </w:r>
      <w:r>
        <w:rPr>
          <w:rFonts w:hint="eastAsia" w:ascii="Calibri" w:hAnsi="Calibri" w:eastAsia="Arial" w:cs="Times New Roman"/>
          <w:kern w:val="0"/>
          <w:sz w:val="24"/>
          <w:szCs w:val="24"/>
        </w:rPr>
        <w:t>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p>
    <w:p w14:paraId="3440CF2A">
      <w:pPr>
        <w:spacing w:line="500" w:lineRule="exact"/>
        <w:ind w:firstLine="480"/>
        <w:jc w:val="left"/>
        <w:rPr>
          <w:rFonts w:hint="eastAsia" w:ascii="Calibri" w:hAnsi="Calibri" w:eastAsia="宋体" w:cs="Times New Roman"/>
          <w:b/>
          <w:bCs/>
          <w:kern w:val="0"/>
          <w:sz w:val="24"/>
          <w:szCs w:val="24"/>
          <w:lang w:val="en-US" w:eastAsia="zh-CN"/>
        </w:rPr>
      </w:pPr>
      <w:r>
        <w:rPr>
          <w:rFonts w:hint="eastAsia" w:ascii="Calibri" w:hAnsi="Calibri" w:eastAsia="宋体" w:cs="Times New Roman"/>
          <w:b/>
          <w:bCs/>
          <w:kern w:val="0"/>
          <w:sz w:val="24"/>
          <w:szCs w:val="24"/>
          <w:lang w:val="en-US" w:eastAsia="zh-CN"/>
        </w:rPr>
        <w:t>特别提醒：</w:t>
      </w:r>
    </w:p>
    <w:p w14:paraId="3C157AAB">
      <w:pPr>
        <w:spacing w:line="500" w:lineRule="exact"/>
        <w:ind w:firstLine="480"/>
        <w:jc w:val="left"/>
        <w:rPr>
          <w:rFonts w:hint="eastAsia" w:ascii="Calibri" w:hAnsi="Calibri" w:eastAsia="宋体" w:cs="Times New Roman"/>
          <w:kern w:val="0"/>
          <w:sz w:val="24"/>
          <w:szCs w:val="24"/>
          <w:lang w:val="en-US" w:eastAsia="zh-CN"/>
        </w:rPr>
      </w:pPr>
      <w:r>
        <w:rPr>
          <w:rFonts w:hint="eastAsia" w:ascii="Calibri" w:hAnsi="Calibri" w:eastAsia="宋体" w:cs="Times New Roman"/>
          <w:kern w:val="0"/>
          <w:sz w:val="24"/>
          <w:szCs w:val="24"/>
          <w:lang w:val="en-US" w:eastAsia="zh-CN"/>
        </w:rPr>
        <w:t>根据《关于推动解决政府采购异常低价问题相关工作的通知》（苏财购〔2025〕62号）规定，评审过程中出现下列情形之一的，评委会应当启动异常低价投标审查程序:</w:t>
      </w:r>
    </w:p>
    <w:p w14:paraId="10AC9096">
      <w:pPr>
        <w:spacing w:line="500" w:lineRule="exact"/>
        <w:ind w:firstLine="480"/>
        <w:jc w:val="left"/>
        <w:rPr>
          <w:rFonts w:hint="eastAsia" w:ascii="Calibri" w:hAnsi="Calibri" w:eastAsia="宋体" w:cs="Times New Roman"/>
          <w:kern w:val="0"/>
          <w:sz w:val="24"/>
          <w:szCs w:val="24"/>
          <w:lang w:val="en-US" w:eastAsia="zh-CN"/>
        </w:rPr>
      </w:pPr>
      <w:r>
        <w:rPr>
          <w:rFonts w:hint="eastAsia" w:ascii="Calibri" w:hAnsi="Calibri" w:eastAsia="宋体" w:cs="Times New Roman"/>
          <w:kern w:val="0"/>
          <w:sz w:val="24"/>
          <w:szCs w:val="24"/>
          <w:lang w:val="en-US" w:eastAsia="zh-CN"/>
        </w:rPr>
        <w:t>1.投标报价低于采购项目预算50%的，即投标报价&lt;采购项目预算x50%;</w:t>
      </w:r>
    </w:p>
    <w:p w14:paraId="507964E3">
      <w:pPr>
        <w:spacing w:line="500" w:lineRule="exact"/>
        <w:ind w:firstLine="480"/>
        <w:jc w:val="left"/>
        <w:rPr>
          <w:rFonts w:hint="eastAsia" w:ascii="Calibri" w:hAnsi="Calibri" w:eastAsia="宋体" w:cs="Times New Roman"/>
          <w:kern w:val="0"/>
          <w:sz w:val="24"/>
          <w:szCs w:val="24"/>
          <w:lang w:val="en-US" w:eastAsia="zh-CN"/>
        </w:rPr>
      </w:pPr>
      <w:r>
        <w:rPr>
          <w:rFonts w:hint="eastAsia" w:ascii="Calibri" w:hAnsi="Calibri" w:eastAsia="宋体" w:cs="Times New Roman"/>
          <w:kern w:val="0"/>
          <w:sz w:val="24"/>
          <w:szCs w:val="24"/>
          <w:lang w:val="en-US" w:eastAsia="zh-CN"/>
        </w:rPr>
        <w:t>2.投标报价低于采购项目最高限价45%的，即投标报价&lt;采购项目最高限价x45%;</w:t>
      </w:r>
    </w:p>
    <w:p w14:paraId="2B5FB9FA">
      <w:pPr>
        <w:spacing w:line="500" w:lineRule="exact"/>
        <w:ind w:firstLine="480"/>
        <w:jc w:val="left"/>
        <w:rPr>
          <w:rFonts w:hint="eastAsia" w:ascii="Calibri" w:hAnsi="Calibri" w:eastAsia="宋体" w:cs="Times New Roman"/>
          <w:kern w:val="0"/>
          <w:sz w:val="24"/>
          <w:szCs w:val="24"/>
          <w:lang w:val="en-US" w:eastAsia="zh-CN"/>
        </w:rPr>
      </w:pPr>
      <w:r>
        <w:rPr>
          <w:rFonts w:hint="eastAsia" w:ascii="Calibri" w:hAnsi="Calibri" w:eastAsia="宋体" w:cs="Times New Roman"/>
          <w:kern w:val="0"/>
          <w:sz w:val="24"/>
          <w:szCs w:val="24"/>
          <w:lang w:val="en-US" w:eastAsia="zh-CN"/>
        </w:rPr>
        <w:t>3.评委会认定的供应商报价过低、有可能影响产品质量或者不能诚信履约的其他情形。</w:t>
      </w:r>
    </w:p>
    <w:p w14:paraId="75E62EAF">
      <w:pPr>
        <w:spacing w:line="500" w:lineRule="exact"/>
        <w:ind w:firstLine="480"/>
        <w:jc w:val="left"/>
        <w:rPr>
          <w:rFonts w:hint="eastAsia" w:ascii="Calibri" w:hAnsi="Calibri" w:eastAsia="宋体" w:cs="Times New Roman"/>
          <w:kern w:val="0"/>
          <w:sz w:val="24"/>
          <w:szCs w:val="24"/>
          <w:lang w:val="en-US" w:eastAsia="zh-CN"/>
        </w:rPr>
      </w:pPr>
      <w:r>
        <w:rPr>
          <w:rFonts w:hint="eastAsia" w:ascii="Calibri" w:hAnsi="Calibri" w:eastAsia="宋体" w:cs="Times New Roman"/>
          <w:kern w:val="0"/>
          <w:sz w:val="24"/>
          <w:szCs w:val="24"/>
          <w:lang w:val="en-US" w:eastAsia="zh-CN"/>
        </w:rPr>
        <w:t>（二）启动异常低价投标审查后，评委会应当要求相关投标人在20分钟内，提供项目具体成本测算等与报价合理性相关的书面说明及相关证明材料，对投标价格作出解释，由评委会结合同类产品在主要电商平台的价格、该行业当地薪资水平等情况，依据专业经验对投标报价合理性进行判断。投标人不提供书面说明、证明材料，或者提供的书面说明、证明材料不能证明其报价合理性的，评委会应当将其作为无效投标处理。审查相关情况应当在评审报告中进行记录。</w:t>
      </w:r>
    </w:p>
    <w:p w14:paraId="4C0B2554">
      <w:pPr>
        <w:spacing w:line="500" w:lineRule="exact"/>
        <w:ind w:firstLine="480"/>
        <w:jc w:val="left"/>
        <w:rPr>
          <w:rFonts w:hint="default" w:ascii="Calibri" w:hAnsi="Calibri" w:eastAsia="Arial" w:cs="Times New Roman"/>
          <w:kern w:val="0"/>
          <w:sz w:val="24"/>
          <w:szCs w:val="24"/>
        </w:rPr>
      </w:pPr>
    </w:p>
    <w:p w14:paraId="30F784B3">
      <w:pPr>
        <w:pageBreakBefore w:val="0"/>
        <w:spacing w:line="500" w:lineRule="exact"/>
        <w:ind w:firstLine="600"/>
        <w:rPr>
          <w:rFonts w:hint="eastAsia" w:ascii="宋体" w:hAnsi="宋体" w:eastAsia="宋体" w:cs="Times New Roman"/>
          <w:color w:val="000000"/>
          <w:kern w:val="0"/>
          <w:sz w:val="24"/>
          <w:szCs w:val="24"/>
          <w:lang w:val="en-US" w:eastAsia="zh-CN"/>
        </w:rPr>
      </w:pPr>
    </w:p>
    <w:p w14:paraId="5087C2EE">
      <w:pPr>
        <w:spacing w:line="360" w:lineRule="auto"/>
        <w:rPr>
          <w:rFonts w:ascii="黑体" w:eastAsia="黑体"/>
          <w:bCs/>
          <w:color w:val="000000"/>
          <w:sz w:val="44"/>
          <w:highlight w:val="none"/>
        </w:rPr>
        <w:sectPr>
          <w:footerReference r:id="rId6" w:type="first"/>
          <w:footerReference r:id="rId5" w:type="default"/>
          <w:pgSz w:w="11906" w:h="16838"/>
          <w:pgMar w:top="1418" w:right="1588" w:bottom="1418" w:left="1365" w:header="851" w:footer="907" w:gutter="0"/>
          <w:pgNumType w:start="1"/>
          <w:cols w:space="1701" w:num="1"/>
          <w:titlePg/>
          <w:docGrid w:linePitch="360" w:charSpace="0"/>
        </w:sectPr>
      </w:pPr>
    </w:p>
    <w:p w14:paraId="37C4962E">
      <w:pPr>
        <w:keepNext/>
        <w:spacing w:line="360" w:lineRule="auto"/>
        <w:jc w:val="center"/>
        <w:outlineLvl w:val="0"/>
        <w:rPr>
          <w:rFonts w:ascii="宋体" w:hAnsi="宋体" w:eastAsia="宋体" w:cs="Times New Roman"/>
          <w:b/>
          <w:bCs/>
          <w:color w:val="000000"/>
          <w:sz w:val="28"/>
          <w:szCs w:val="28"/>
          <w:highlight w:val="none"/>
        </w:rPr>
      </w:pPr>
      <w:r>
        <w:rPr>
          <w:rFonts w:hint="eastAsia" w:ascii="黑体" w:hAnsi="Times New Roman" w:eastAsia="黑体" w:cs="Times New Roman"/>
          <w:bCs/>
          <w:color w:val="000000"/>
          <w:sz w:val="44"/>
          <w:szCs w:val="28"/>
          <w:highlight w:val="none"/>
        </w:rPr>
        <w:t xml:space="preserve">第三章  </w:t>
      </w:r>
      <w:bookmarkEnd w:id="124"/>
      <w:bookmarkEnd w:id="125"/>
      <w:bookmarkEnd w:id="126"/>
      <w:bookmarkEnd w:id="127"/>
      <w:bookmarkEnd w:id="128"/>
      <w:bookmarkStart w:id="129" w:name="_Hlt16619350"/>
      <w:bookmarkStart w:id="130" w:name="_Toc16938590"/>
      <w:bookmarkStart w:id="131" w:name="_Toc120614244"/>
      <w:bookmarkStart w:id="132" w:name="_Toc20823346"/>
      <w:bookmarkStart w:id="133" w:name="_Toc462564139"/>
      <w:bookmarkStart w:id="134" w:name="_Toc479757211"/>
      <w:r>
        <w:rPr>
          <w:rFonts w:hint="eastAsia" w:ascii="宋体" w:hAnsi="宋体" w:eastAsia="宋体" w:cs="Times New Roman"/>
          <w:b/>
          <w:bCs/>
          <w:color w:val="000000"/>
          <w:sz w:val="44"/>
          <w:szCs w:val="44"/>
          <w:highlight w:val="none"/>
        </w:rPr>
        <w:t xml:space="preserve"> 政府采购合同格式</w:t>
      </w:r>
    </w:p>
    <w:p w14:paraId="0BC23D9A">
      <w:pPr>
        <w:spacing w:line="360" w:lineRule="auto"/>
        <w:jc w:val="center"/>
        <w:rPr>
          <w:rFonts w:ascii="宋体" w:hAnsi="宋体" w:eastAsia="宋体" w:cs="宋体"/>
          <w:b/>
          <w:color w:val="000000"/>
          <w:kern w:val="0"/>
          <w:sz w:val="32"/>
          <w:szCs w:val="20"/>
          <w:highlight w:val="none"/>
        </w:rPr>
      </w:pPr>
    </w:p>
    <w:p w14:paraId="35C1FD16">
      <w:pPr>
        <w:spacing w:line="360" w:lineRule="auto"/>
        <w:jc w:val="center"/>
        <w:rPr>
          <w:rFonts w:ascii="宋体" w:hAnsi="宋体" w:eastAsia="宋体" w:cs="Times New Roman"/>
          <w:b/>
          <w:bCs/>
          <w:color w:val="000000"/>
          <w:kern w:val="0"/>
          <w:sz w:val="32"/>
          <w:szCs w:val="32"/>
          <w:highlight w:val="none"/>
        </w:rPr>
      </w:pPr>
      <w:r>
        <w:rPr>
          <w:rFonts w:hint="eastAsia" w:ascii="宋体" w:hAnsi="宋体" w:eastAsia="宋体" w:cs="Times New Roman"/>
          <w:b/>
          <w:bCs/>
          <w:color w:val="000000"/>
          <w:kern w:val="0"/>
          <w:sz w:val="32"/>
          <w:szCs w:val="32"/>
          <w:highlight w:val="none"/>
        </w:rPr>
        <w:t xml:space="preserve"> </w:t>
      </w:r>
      <w:r>
        <w:rPr>
          <w:rFonts w:hint="eastAsia" w:ascii="宋体" w:hAnsi="宋体" w:eastAsia="宋体" w:cs="Times New Roman"/>
          <w:b/>
          <w:bCs/>
          <w:color w:val="000000"/>
          <w:kern w:val="0"/>
          <w:sz w:val="32"/>
          <w:szCs w:val="32"/>
          <w:highlight w:val="none"/>
          <w:u w:val="single"/>
        </w:rPr>
        <w:t xml:space="preserve">                    </w:t>
      </w:r>
      <w:r>
        <w:rPr>
          <w:rFonts w:hint="eastAsia" w:ascii="宋体" w:hAnsi="宋体" w:eastAsia="宋体" w:cs="Times New Roman"/>
          <w:b/>
          <w:bCs/>
          <w:color w:val="000000"/>
          <w:kern w:val="0"/>
          <w:sz w:val="32"/>
          <w:szCs w:val="32"/>
          <w:highlight w:val="none"/>
        </w:rPr>
        <w:t>项目</w:t>
      </w:r>
    </w:p>
    <w:p w14:paraId="6E16FB0C">
      <w:pPr>
        <w:spacing w:line="360" w:lineRule="auto"/>
        <w:ind w:firstLine="420"/>
        <w:rPr>
          <w:rFonts w:ascii="宋体" w:hAnsi="宋体" w:eastAsia="宋体" w:cs="Times New Roman"/>
          <w:color w:val="000000"/>
          <w:kern w:val="0"/>
          <w:highlight w:val="none"/>
        </w:rPr>
      </w:pPr>
    </w:p>
    <w:p w14:paraId="02A9F532">
      <w:pPr>
        <w:spacing w:line="360" w:lineRule="auto"/>
        <w:ind w:firstLine="3507"/>
        <w:rPr>
          <w:rFonts w:ascii="宋体" w:hAnsi="宋体" w:eastAsia="宋体" w:cs="Times New Roman"/>
          <w:b/>
          <w:bCs/>
          <w:color w:val="000000"/>
          <w:kern w:val="0"/>
          <w:sz w:val="44"/>
          <w:highlight w:val="none"/>
        </w:rPr>
      </w:pPr>
    </w:p>
    <w:p w14:paraId="4D304020">
      <w:pPr>
        <w:spacing w:line="360" w:lineRule="auto"/>
        <w:ind w:firstLine="3507"/>
        <w:rPr>
          <w:rFonts w:ascii="宋体" w:hAnsi="宋体" w:eastAsia="宋体" w:cs="Times New Roman"/>
          <w:b/>
          <w:bCs/>
          <w:color w:val="000000"/>
          <w:kern w:val="0"/>
          <w:sz w:val="44"/>
          <w:highlight w:val="none"/>
        </w:rPr>
      </w:pPr>
    </w:p>
    <w:p w14:paraId="4F18F7F9">
      <w:pPr>
        <w:spacing w:line="360" w:lineRule="auto"/>
        <w:ind w:firstLine="2551"/>
        <w:rPr>
          <w:rFonts w:ascii="宋体" w:hAnsi="宋体" w:eastAsia="宋体" w:cs="Times New Roman"/>
          <w:b/>
          <w:bCs/>
          <w:color w:val="000000"/>
          <w:kern w:val="0"/>
          <w:sz w:val="32"/>
          <w:szCs w:val="32"/>
          <w:highlight w:val="none"/>
        </w:rPr>
      </w:pPr>
    </w:p>
    <w:p w14:paraId="0BEDEEF7">
      <w:pPr>
        <w:spacing w:line="360" w:lineRule="auto"/>
        <w:ind w:firstLine="1311"/>
        <w:rPr>
          <w:rFonts w:ascii="宋体" w:hAnsi="宋体" w:eastAsia="宋体" w:cs="Times New Roman"/>
          <w:b/>
          <w:bCs/>
          <w:color w:val="000000"/>
          <w:kern w:val="0"/>
          <w:sz w:val="32"/>
          <w:szCs w:val="32"/>
          <w:highlight w:val="none"/>
        </w:rPr>
      </w:pPr>
      <w:r>
        <w:rPr>
          <w:rFonts w:hint="eastAsia" w:ascii="宋体" w:hAnsi="宋体" w:eastAsia="宋体" w:cs="Times New Roman"/>
          <w:b/>
          <w:bCs/>
          <w:color w:val="000000"/>
          <w:kern w:val="0"/>
          <w:sz w:val="32"/>
          <w:szCs w:val="32"/>
          <w:highlight w:val="none"/>
        </w:rPr>
        <w:t>合同编号：</w:t>
      </w:r>
    </w:p>
    <w:p w14:paraId="41F53599">
      <w:pPr>
        <w:spacing w:line="360" w:lineRule="auto"/>
        <w:jc w:val="center"/>
        <w:rPr>
          <w:rFonts w:ascii="宋体" w:hAnsi="宋体" w:eastAsia="宋体" w:cs="宋体"/>
          <w:b/>
          <w:color w:val="000000"/>
          <w:kern w:val="0"/>
          <w:sz w:val="32"/>
          <w:szCs w:val="20"/>
          <w:highlight w:val="none"/>
        </w:rPr>
      </w:pPr>
    </w:p>
    <w:p w14:paraId="77160D70">
      <w:pPr>
        <w:spacing w:line="360" w:lineRule="auto"/>
        <w:jc w:val="center"/>
        <w:rPr>
          <w:rFonts w:ascii="宋体" w:hAnsi="宋体" w:eastAsia="宋体" w:cs="宋体"/>
          <w:b/>
          <w:color w:val="000000"/>
          <w:kern w:val="0"/>
          <w:sz w:val="32"/>
          <w:szCs w:val="20"/>
          <w:highlight w:val="none"/>
        </w:rPr>
      </w:pPr>
    </w:p>
    <w:p w14:paraId="240E803E">
      <w:pPr>
        <w:spacing w:line="360" w:lineRule="auto"/>
        <w:jc w:val="center"/>
        <w:rPr>
          <w:rFonts w:ascii="宋体" w:hAnsi="宋体" w:eastAsia="宋体" w:cs="宋体"/>
          <w:b/>
          <w:color w:val="000000"/>
          <w:kern w:val="0"/>
          <w:sz w:val="32"/>
          <w:szCs w:val="20"/>
          <w:highlight w:val="none"/>
        </w:rPr>
      </w:pPr>
    </w:p>
    <w:p w14:paraId="5B5A9C6B">
      <w:pPr>
        <w:spacing w:line="360" w:lineRule="auto"/>
        <w:jc w:val="center"/>
        <w:rPr>
          <w:rFonts w:ascii="宋体" w:hAnsi="宋体" w:eastAsia="宋体" w:cs="宋体"/>
          <w:b/>
          <w:color w:val="000000"/>
          <w:kern w:val="0"/>
          <w:sz w:val="32"/>
          <w:szCs w:val="20"/>
          <w:highlight w:val="none"/>
        </w:rPr>
      </w:pPr>
    </w:p>
    <w:p w14:paraId="3E2FA32A">
      <w:pPr>
        <w:spacing w:line="360" w:lineRule="auto"/>
        <w:jc w:val="center"/>
        <w:rPr>
          <w:rFonts w:ascii="宋体" w:hAnsi="宋体" w:eastAsia="宋体" w:cs="宋体"/>
          <w:b/>
          <w:color w:val="000000"/>
          <w:kern w:val="0"/>
          <w:sz w:val="32"/>
          <w:szCs w:val="20"/>
          <w:highlight w:val="none"/>
        </w:rPr>
      </w:pPr>
    </w:p>
    <w:p w14:paraId="44936A7C">
      <w:pPr>
        <w:spacing w:after="120"/>
        <w:ind w:left="1440" w:right="1440"/>
        <w:rPr>
          <w:rFonts w:ascii="宋体" w:hAnsi="宋体" w:eastAsia="宋体" w:cs="宋体"/>
          <w:b/>
          <w:color w:val="000000"/>
          <w:sz w:val="32"/>
          <w:szCs w:val="20"/>
          <w:highlight w:val="none"/>
        </w:rPr>
      </w:pPr>
    </w:p>
    <w:p w14:paraId="6668E3EC">
      <w:pPr>
        <w:spacing w:after="120"/>
        <w:ind w:left="1440" w:right="1440"/>
        <w:rPr>
          <w:rFonts w:ascii="宋体" w:hAnsi="宋体" w:eastAsia="宋体" w:cs="宋体"/>
          <w:b/>
          <w:color w:val="000000"/>
          <w:sz w:val="32"/>
          <w:szCs w:val="20"/>
          <w:highlight w:val="none"/>
        </w:rPr>
      </w:pPr>
    </w:p>
    <w:p w14:paraId="60FCBC82">
      <w:pPr>
        <w:spacing w:after="120"/>
        <w:ind w:left="1440" w:right="1440"/>
        <w:rPr>
          <w:rFonts w:ascii="宋体" w:hAnsi="宋体" w:eastAsia="宋体" w:cs="宋体"/>
          <w:b/>
          <w:color w:val="000000"/>
          <w:sz w:val="32"/>
          <w:szCs w:val="20"/>
          <w:highlight w:val="none"/>
        </w:rPr>
      </w:pPr>
    </w:p>
    <w:p w14:paraId="5AD8B705">
      <w:pPr>
        <w:spacing w:line="360" w:lineRule="auto"/>
        <w:ind w:firstLine="1279"/>
        <w:rPr>
          <w:rFonts w:ascii="宋体" w:hAnsi="宋体" w:eastAsia="宋体" w:cs="Times New Roman"/>
          <w:b/>
          <w:bCs/>
          <w:color w:val="000000"/>
          <w:kern w:val="0"/>
          <w:sz w:val="32"/>
          <w:szCs w:val="32"/>
          <w:highlight w:val="none"/>
        </w:rPr>
      </w:pPr>
      <w:r>
        <w:rPr>
          <w:rFonts w:hint="eastAsia" w:ascii="宋体" w:hAnsi="宋体" w:eastAsia="宋体" w:cs="Times New Roman"/>
          <w:b/>
          <w:bCs/>
          <w:color w:val="000000"/>
          <w:kern w:val="0"/>
          <w:sz w:val="32"/>
          <w:szCs w:val="32"/>
          <w:highlight w:val="none"/>
        </w:rPr>
        <w:t>采购人： 灌云县临港产业区管理办公室</w:t>
      </w:r>
    </w:p>
    <w:p w14:paraId="46F214F4">
      <w:pPr>
        <w:spacing w:line="360" w:lineRule="auto"/>
        <w:ind w:firstLine="1279"/>
        <w:rPr>
          <w:rFonts w:ascii="宋体" w:hAnsi="宋体" w:eastAsia="宋体" w:cs="Times New Roman"/>
          <w:b/>
          <w:bCs/>
          <w:color w:val="000000"/>
          <w:kern w:val="0"/>
          <w:sz w:val="32"/>
          <w:szCs w:val="32"/>
          <w:highlight w:val="none"/>
        </w:rPr>
      </w:pPr>
      <w:r>
        <w:rPr>
          <w:rFonts w:hint="eastAsia" w:ascii="宋体" w:hAnsi="宋体" w:eastAsia="宋体" w:cs="Times New Roman"/>
          <w:b/>
          <w:bCs/>
          <w:color w:val="000000"/>
          <w:kern w:val="0"/>
          <w:sz w:val="32"/>
          <w:szCs w:val="32"/>
          <w:highlight w:val="none"/>
        </w:rPr>
        <w:t>中标人：</w:t>
      </w:r>
    </w:p>
    <w:p w14:paraId="501AC22F">
      <w:pPr>
        <w:keepNext/>
        <w:jc w:val="center"/>
        <w:outlineLvl w:val="0"/>
        <w:rPr>
          <w:rFonts w:ascii="黑体" w:hAnsi="Times New Roman" w:eastAsia="黑体" w:cs="Times New Roman"/>
          <w:bCs/>
          <w:color w:val="000000"/>
          <w:sz w:val="44"/>
          <w:szCs w:val="28"/>
          <w:highlight w:val="none"/>
        </w:rPr>
      </w:pPr>
      <w:r>
        <w:rPr>
          <w:rFonts w:ascii="宋体" w:hAnsi="宋体" w:eastAsia="楷体_GB2312" w:cs="宋体"/>
          <w:color w:val="000000"/>
          <w:sz w:val="32"/>
          <w:szCs w:val="20"/>
          <w:highlight w:val="none"/>
        </w:rPr>
        <w:br w:type="page" w:clear="all"/>
      </w:r>
    </w:p>
    <w:p w14:paraId="2D987458">
      <w:pPr>
        <w:spacing w:line="500" w:lineRule="exact"/>
        <w:ind w:firstLine="480"/>
        <w:rPr>
          <w:rFonts w:ascii="宋体" w:hAnsi="宋体" w:eastAsia="宋体" w:cs="Times New Roman"/>
          <w:bCs/>
          <w:color w:val="000000"/>
          <w:kern w:val="0"/>
          <w:sz w:val="24"/>
          <w:szCs w:val="21"/>
          <w:highlight w:val="none"/>
        </w:rPr>
      </w:pPr>
      <w:bookmarkStart w:id="135" w:name="_Toc513029243"/>
      <w:bookmarkStart w:id="136" w:name="_Toc16938559"/>
      <w:bookmarkStart w:id="137" w:name="_Toc20823315"/>
      <w:r>
        <w:rPr>
          <w:rFonts w:hint="eastAsia" w:ascii="宋体" w:hAnsi="宋体" w:eastAsia="宋体" w:cs="Times New Roman"/>
          <w:bCs/>
          <w:color w:val="000000"/>
          <w:kern w:val="0"/>
          <w:sz w:val="24"/>
          <w:szCs w:val="21"/>
          <w:highlight w:val="none"/>
        </w:rPr>
        <w:t>以下为中标后签定本项目合同的通用条款，中标人不得提出实质性的修改。</w:t>
      </w:r>
    </w:p>
    <w:p w14:paraId="4CB423B1">
      <w:pPr>
        <w:keepNext/>
        <w:spacing w:line="360" w:lineRule="auto"/>
        <w:jc w:val="center"/>
        <w:outlineLvl w:val="0"/>
        <w:rPr>
          <w:rFonts w:ascii="宋体" w:hAnsi="Times New Roman" w:eastAsia="楷体_GB2312" w:cs="Times New Roman"/>
          <w:color w:val="000000"/>
          <w:sz w:val="36"/>
          <w:szCs w:val="36"/>
          <w:highlight w:val="none"/>
        </w:rPr>
      </w:pPr>
      <w:r>
        <w:rPr>
          <w:rFonts w:hint="eastAsia" w:ascii="宋体" w:hAnsi="宋体" w:eastAsia="楷体_GB2312" w:cs="宋体"/>
          <w:color w:val="000000"/>
          <w:sz w:val="36"/>
          <w:szCs w:val="36"/>
          <w:highlight w:val="none"/>
        </w:rPr>
        <w:t>合同条款及格式</w:t>
      </w:r>
    </w:p>
    <w:p w14:paraId="35CA2155">
      <w:pPr>
        <w:tabs>
          <w:tab w:val="left" w:pos="180"/>
        </w:tabs>
        <w:spacing w:line="400" w:lineRule="exact"/>
        <w:rPr>
          <w:rFonts w:ascii="宋体" w:hAnsi="Times New Roman" w:eastAsia="宋体" w:cs="Times New Roman"/>
          <w:b/>
          <w:bCs/>
          <w:color w:val="000000"/>
          <w:kern w:val="0"/>
          <w:sz w:val="24"/>
          <w:highlight w:val="none"/>
        </w:rPr>
      </w:pPr>
      <w:r>
        <w:rPr>
          <w:rFonts w:hint="eastAsia" w:ascii="宋体" w:hAnsi="宋体" w:eastAsia="宋体" w:cs="宋体"/>
          <w:b/>
          <w:bCs/>
          <w:color w:val="000000"/>
          <w:kern w:val="0"/>
          <w:sz w:val="24"/>
          <w:highlight w:val="none"/>
        </w:rPr>
        <w:t>注</w:t>
      </w:r>
      <w:r>
        <w:rPr>
          <w:rFonts w:ascii="宋体" w:hAnsi="宋体" w:eastAsia="宋体" w:cs="宋体"/>
          <w:b/>
          <w:bCs/>
          <w:color w:val="000000"/>
          <w:kern w:val="0"/>
          <w:sz w:val="24"/>
          <w:highlight w:val="none"/>
        </w:rPr>
        <w:t>:</w:t>
      </w:r>
      <w:r>
        <w:rPr>
          <w:rFonts w:hint="eastAsia" w:ascii="宋体" w:hAnsi="宋体" w:eastAsia="宋体" w:cs="宋体"/>
          <w:b/>
          <w:bCs/>
          <w:color w:val="000000"/>
          <w:kern w:val="0"/>
          <w:sz w:val="24"/>
          <w:highlight w:val="none"/>
        </w:rPr>
        <w:t>以下为采购人提出中标后签订本项目合同的主要条款及通用条款，投标人必须实质性响应，中标供应商不得提出实质性的修改，关于专用条款将由采购人与中标供应商结合本项目具体情况协商后签订。</w:t>
      </w:r>
    </w:p>
    <w:bookmarkEnd w:id="135"/>
    <w:bookmarkEnd w:id="136"/>
    <w:bookmarkEnd w:id="137"/>
    <w:p w14:paraId="266D802A">
      <w:pPr>
        <w:spacing w:before="145" w:after="145" w:line="360" w:lineRule="auto"/>
        <w:jc w:val="center"/>
        <w:rPr>
          <w:rFonts w:ascii="宋体" w:hAnsi="宋体" w:eastAsia="宋体" w:cs="宋体"/>
          <w:color w:val="000000"/>
          <w:sz w:val="24"/>
          <w:highlight w:val="none"/>
        </w:rPr>
      </w:pPr>
      <w:r>
        <w:rPr>
          <w:rFonts w:hint="eastAsia" w:ascii="宋体" w:hAnsi="宋体" w:eastAsia="宋体" w:cs="宋体"/>
          <w:b/>
          <w:bCs/>
          <w:color w:val="000000"/>
          <w:sz w:val="30"/>
          <w:szCs w:val="30"/>
          <w:highlight w:val="none"/>
        </w:rPr>
        <w:t>江苏省政府采购合同（合同编号）</w:t>
      </w:r>
    </w:p>
    <w:p w14:paraId="51DA8D45">
      <w:pPr>
        <w:spacing w:before="120" w:after="120" w:line="400" w:lineRule="exact"/>
        <w:rPr>
          <w:rFonts w:ascii="宋体" w:hAnsi="宋体" w:eastAsia="宋体" w:cs="宋体"/>
          <w:color w:val="000000"/>
          <w:sz w:val="24"/>
          <w:highlight w:val="none"/>
        </w:rPr>
      </w:pPr>
      <w:r>
        <w:rPr>
          <w:rFonts w:hint="eastAsia" w:ascii="宋体" w:hAnsi="宋体" w:eastAsia="宋体" w:cs="宋体"/>
          <w:color w:val="000000"/>
          <w:sz w:val="24"/>
          <w:highlight w:val="none"/>
        </w:rPr>
        <w:t>项目名称：</w:t>
      </w:r>
    </w:p>
    <w:p w14:paraId="486A6AE1">
      <w:pPr>
        <w:spacing w:before="120" w:after="120" w:line="400" w:lineRule="exact"/>
        <w:rPr>
          <w:rFonts w:ascii="宋体" w:hAnsi="宋体" w:eastAsia="宋体" w:cs="宋体"/>
          <w:sz w:val="24"/>
          <w:szCs w:val="21"/>
          <w:highlight w:val="none"/>
        </w:rPr>
      </w:pPr>
      <w:r>
        <w:rPr>
          <w:rFonts w:hint="eastAsia" w:ascii="宋体" w:hAnsi="宋体" w:eastAsia="宋体" w:cs="宋体"/>
          <w:color w:val="000000"/>
          <w:sz w:val="24"/>
          <w:highlight w:val="none"/>
        </w:rPr>
        <w:t>项目编号：</w:t>
      </w:r>
    </w:p>
    <w:p w14:paraId="35931946">
      <w:pPr>
        <w:spacing w:before="120" w:after="120" w:line="400" w:lineRule="exact"/>
        <w:rPr>
          <w:rFonts w:ascii="宋体" w:hAnsi="宋体" w:eastAsia="宋体" w:cs="宋体"/>
          <w:sz w:val="24"/>
          <w:szCs w:val="21"/>
          <w:highlight w:val="none"/>
        </w:rPr>
      </w:pPr>
      <w:r>
        <w:rPr>
          <w:rFonts w:hint="eastAsia" w:ascii="宋体" w:hAnsi="宋体" w:eastAsia="宋体" w:cs="宋体"/>
          <w:color w:val="000000"/>
          <w:sz w:val="24"/>
          <w:highlight w:val="none"/>
        </w:rPr>
        <w:t>甲方：（买方）_________</w:t>
      </w:r>
    </w:p>
    <w:p w14:paraId="673D5C9B">
      <w:pPr>
        <w:spacing w:before="120" w:after="120" w:line="400" w:lineRule="exact"/>
        <w:rPr>
          <w:rFonts w:ascii="宋体" w:hAnsi="宋体" w:eastAsia="宋体" w:cs="宋体"/>
          <w:sz w:val="24"/>
          <w:szCs w:val="21"/>
          <w:highlight w:val="none"/>
        </w:rPr>
      </w:pPr>
      <w:r>
        <w:rPr>
          <w:rFonts w:hint="eastAsia" w:ascii="宋体" w:hAnsi="宋体" w:eastAsia="宋体" w:cs="宋体"/>
          <w:color w:val="000000"/>
          <w:sz w:val="24"/>
          <w:highlight w:val="none"/>
        </w:rPr>
        <w:t>乙方：（卖方）_________</w:t>
      </w:r>
    </w:p>
    <w:p w14:paraId="38169FC5">
      <w:pPr>
        <w:numPr>
          <w:ilvl w:val="0"/>
          <w:numId w:val="4"/>
        </w:numPr>
        <w:spacing w:before="120" w:after="120" w:line="400" w:lineRule="exact"/>
        <w:ind w:firstLine="482" w:firstLineChars="200"/>
        <w:rPr>
          <w:rFonts w:ascii="宋体" w:hAnsi="宋体" w:eastAsia="宋体" w:cs="宋体"/>
          <w:b/>
          <w:bCs/>
          <w:color w:val="000000"/>
          <w:sz w:val="24"/>
          <w:highlight w:val="none"/>
        </w:rPr>
      </w:pPr>
      <w:r>
        <w:rPr>
          <w:rFonts w:hint="eastAsia" w:ascii="宋体" w:hAnsi="宋体" w:eastAsia="宋体" w:cs="宋体"/>
          <w:b/>
          <w:bCs/>
          <w:color w:val="000000"/>
          <w:sz w:val="24"/>
          <w:highlight w:val="none"/>
        </w:rPr>
        <w:t>乙双方根据       年    月   日【标段名称】项目（标段编号：【标段编号】） 招标的结果，签订本合同。</w:t>
      </w:r>
    </w:p>
    <w:p w14:paraId="56FC0CE6">
      <w:pPr>
        <w:spacing w:before="120" w:after="120" w:line="400" w:lineRule="exact"/>
        <w:rPr>
          <w:rFonts w:ascii="宋体" w:hAnsi="宋体" w:eastAsia="宋体" w:cs="宋体"/>
          <w:sz w:val="24"/>
          <w:szCs w:val="21"/>
          <w:highlight w:val="none"/>
        </w:rPr>
      </w:pPr>
      <w:r>
        <w:rPr>
          <w:rFonts w:hint="eastAsia" w:ascii="宋体" w:hAnsi="宋体" w:eastAsia="宋体" w:cs="宋体"/>
          <w:b/>
          <w:bCs/>
          <w:color w:val="000000"/>
          <w:sz w:val="24"/>
          <w:highlight w:val="none"/>
        </w:rPr>
        <w:t>一、合同内容</w:t>
      </w:r>
    </w:p>
    <w:p w14:paraId="1E87C692">
      <w:pPr>
        <w:spacing w:before="120" w:after="120" w:line="400" w:lineRule="exact"/>
        <w:rPr>
          <w:rFonts w:ascii="宋体" w:hAnsi="宋体" w:eastAsia="宋体" w:cs="宋体"/>
          <w:color w:val="000000"/>
          <w:sz w:val="24"/>
          <w:highlight w:val="none"/>
        </w:rPr>
      </w:pPr>
      <w:r>
        <w:rPr>
          <w:rFonts w:hint="eastAsia" w:ascii="宋体" w:hAnsi="宋体" w:eastAsia="宋体" w:cs="宋体"/>
          <w:color w:val="000000"/>
          <w:sz w:val="24"/>
          <w:highlight w:val="none"/>
        </w:rPr>
        <w:t>1.1  服务内容：      。</w:t>
      </w:r>
    </w:p>
    <w:p w14:paraId="59D9A1E9">
      <w:pPr>
        <w:spacing w:before="120" w:after="120" w:line="400" w:lineRule="exact"/>
        <w:rPr>
          <w:rFonts w:ascii="宋体" w:hAnsi="宋体" w:eastAsia="宋体" w:cs="宋体"/>
          <w:color w:val="000000"/>
          <w:sz w:val="24"/>
          <w:highlight w:val="none"/>
        </w:rPr>
      </w:pPr>
      <w:r>
        <w:rPr>
          <w:rFonts w:hint="eastAsia" w:ascii="宋体" w:hAnsi="宋体" w:eastAsia="宋体" w:cs="宋体"/>
          <w:color w:val="000000"/>
          <w:sz w:val="24"/>
          <w:highlight w:val="none"/>
        </w:rPr>
        <w:t>1.2  服务期限：      。</w:t>
      </w:r>
    </w:p>
    <w:p w14:paraId="0D253D71">
      <w:pPr>
        <w:spacing w:before="120" w:after="120" w:line="400" w:lineRule="exact"/>
        <w:rPr>
          <w:rFonts w:ascii="宋体" w:hAnsi="宋体" w:eastAsia="宋体" w:cs="宋体"/>
          <w:color w:val="000000"/>
          <w:sz w:val="24"/>
          <w:highlight w:val="none"/>
        </w:rPr>
      </w:pPr>
      <w:r>
        <w:rPr>
          <w:rFonts w:hint="eastAsia" w:ascii="宋体" w:hAnsi="宋体" w:eastAsia="宋体" w:cs="宋体"/>
          <w:color w:val="000000"/>
          <w:sz w:val="24"/>
          <w:highlight w:val="none"/>
        </w:rPr>
        <w:t>1.3  补充条款：     。</w:t>
      </w:r>
    </w:p>
    <w:p w14:paraId="68B2CAB3">
      <w:pPr>
        <w:spacing w:before="120" w:after="120" w:line="400" w:lineRule="exact"/>
        <w:rPr>
          <w:rFonts w:ascii="宋体" w:hAnsi="宋体" w:eastAsia="宋体" w:cs="宋体"/>
          <w:sz w:val="24"/>
          <w:szCs w:val="21"/>
          <w:highlight w:val="none"/>
        </w:rPr>
      </w:pPr>
      <w:r>
        <w:rPr>
          <w:rFonts w:hint="eastAsia" w:ascii="宋体" w:hAnsi="宋体" w:eastAsia="宋体" w:cs="宋体"/>
          <w:b/>
          <w:bCs/>
          <w:color w:val="000000"/>
          <w:sz w:val="24"/>
          <w:highlight w:val="none"/>
        </w:rPr>
        <w:t>二、合同金额</w:t>
      </w:r>
    </w:p>
    <w:p w14:paraId="2E172D24">
      <w:pPr>
        <w:spacing w:before="120" w:after="120" w:line="400" w:lineRule="exact"/>
        <w:ind w:left="410" w:hanging="410"/>
        <w:rPr>
          <w:rFonts w:ascii="宋体" w:hAnsi="宋体" w:eastAsia="宋体" w:cs="宋体"/>
          <w:color w:val="000000"/>
          <w:sz w:val="24"/>
          <w:highlight w:val="none"/>
        </w:rPr>
      </w:pPr>
      <w:r>
        <w:rPr>
          <w:rFonts w:hint="eastAsia" w:ascii="宋体" w:hAnsi="宋体" w:eastAsia="宋体" w:cs="宋体"/>
          <w:color w:val="000000"/>
          <w:sz w:val="24"/>
          <w:highlight w:val="none"/>
        </w:rPr>
        <w:t>2.1 本合同金额为（大写）：____________圆（__________元）人民币。</w:t>
      </w:r>
    </w:p>
    <w:p w14:paraId="4A2B7813">
      <w:pPr>
        <w:spacing w:line="400" w:lineRule="exact"/>
        <w:jc w:val="left"/>
        <w:rPr>
          <w:rFonts w:ascii="宋体" w:hAnsi="宋体" w:eastAsia="宋体" w:cs="宋体"/>
          <w:color w:val="000000"/>
          <w:kern w:val="0"/>
          <w:sz w:val="24"/>
          <w:highlight w:val="none"/>
        </w:rPr>
      </w:pPr>
      <w:r>
        <w:rPr>
          <w:rFonts w:hint="eastAsia" w:ascii="宋体" w:hAnsi="宋体" w:eastAsia="宋体" w:cs="Times New Roman"/>
          <w:kern w:val="0"/>
          <w:sz w:val="24"/>
          <w:highlight w:val="none"/>
        </w:rPr>
        <w:t xml:space="preserve">2.2 </w:t>
      </w:r>
      <w:r>
        <w:rPr>
          <w:rFonts w:ascii="宋体" w:hAnsi="宋体" w:eastAsia="宋体" w:cs="Times New Roman"/>
          <w:kern w:val="0"/>
          <w:sz w:val="24"/>
          <w:highlight w:val="none"/>
        </w:rPr>
        <w:t>本合同价款包含所有乙方提供合同约定产品和服务的报酬及乙方提供合同中产品和服务所支出的必要费用，甲方在上述合同价款之外不再向乙方支付其他任何费用。</w:t>
      </w:r>
    </w:p>
    <w:p w14:paraId="00AA3B03">
      <w:pPr>
        <w:spacing w:before="120" w:after="120" w:line="400" w:lineRule="exact"/>
        <w:rPr>
          <w:rFonts w:ascii="宋体" w:hAnsi="宋体" w:eastAsia="宋体" w:cs="宋体"/>
          <w:sz w:val="24"/>
          <w:szCs w:val="21"/>
          <w:highlight w:val="none"/>
        </w:rPr>
      </w:pPr>
      <w:r>
        <w:rPr>
          <w:rFonts w:hint="eastAsia" w:ascii="宋体" w:hAnsi="宋体" w:eastAsia="宋体" w:cs="宋体"/>
          <w:b/>
          <w:bCs/>
          <w:color w:val="000000"/>
          <w:sz w:val="24"/>
          <w:highlight w:val="none"/>
        </w:rPr>
        <w:t>三、技术资料</w:t>
      </w:r>
    </w:p>
    <w:p w14:paraId="1DA687DB">
      <w:pPr>
        <w:spacing w:before="120" w:after="120" w:line="400" w:lineRule="exact"/>
        <w:ind w:left="410" w:hanging="410"/>
        <w:rPr>
          <w:rFonts w:ascii="宋体" w:hAnsi="宋体" w:eastAsia="宋体" w:cs="宋体"/>
          <w:sz w:val="24"/>
          <w:szCs w:val="21"/>
          <w:highlight w:val="none"/>
        </w:rPr>
      </w:pPr>
      <w:r>
        <w:rPr>
          <w:rFonts w:hint="eastAsia" w:ascii="宋体" w:hAnsi="宋体" w:eastAsia="宋体" w:cs="宋体"/>
          <w:color w:val="000000"/>
          <w:sz w:val="24"/>
          <w:highlight w:val="none"/>
        </w:rPr>
        <w:t>3.1乙方应按招标文件规定的时间向甲方提供与合同标的有关的技术资料。</w:t>
      </w:r>
    </w:p>
    <w:p w14:paraId="18B6A505">
      <w:pPr>
        <w:spacing w:line="400" w:lineRule="exact"/>
        <w:rPr>
          <w:rFonts w:ascii="宋体" w:hAnsi="宋体" w:eastAsia="宋体" w:cs="宋体"/>
          <w:sz w:val="24"/>
          <w:szCs w:val="21"/>
          <w:highlight w:val="none"/>
        </w:rPr>
      </w:pPr>
      <w:r>
        <w:rPr>
          <w:rFonts w:hint="eastAsia" w:ascii="宋体" w:hAnsi="宋体" w:eastAsia="宋体" w:cs="宋体"/>
          <w:color w:val="000000"/>
          <w:sz w:val="24"/>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31E5623C">
      <w:pPr>
        <w:spacing w:before="120" w:after="120" w:line="400" w:lineRule="exact"/>
        <w:ind w:left="412" w:hanging="412"/>
        <w:rPr>
          <w:rFonts w:ascii="宋体" w:hAnsi="宋体" w:eastAsia="宋体" w:cs="宋体"/>
          <w:sz w:val="24"/>
          <w:szCs w:val="21"/>
          <w:highlight w:val="none"/>
        </w:rPr>
      </w:pPr>
      <w:r>
        <w:rPr>
          <w:rFonts w:hint="eastAsia" w:ascii="宋体" w:hAnsi="宋体" w:eastAsia="宋体" w:cs="宋体"/>
          <w:b/>
          <w:bCs/>
          <w:color w:val="000000"/>
          <w:sz w:val="24"/>
          <w:highlight w:val="none"/>
        </w:rPr>
        <w:t>四、知识产权</w:t>
      </w:r>
    </w:p>
    <w:p w14:paraId="47F65679">
      <w:pPr>
        <w:spacing w:line="400" w:lineRule="exact"/>
        <w:rPr>
          <w:rFonts w:ascii="宋体" w:hAnsi="宋体" w:eastAsia="宋体" w:cs="宋体"/>
          <w:color w:val="000000"/>
          <w:sz w:val="24"/>
          <w:highlight w:val="none"/>
        </w:rPr>
      </w:pPr>
      <w:r>
        <w:rPr>
          <w:rFonts w:hint="eastAsia" w:ascii="宋体" w:hAnsi="宋体" w:eastAsia="宋体" w:cs="宋体"/>
          <w:color w:val="000000"/>
          <w:sz w:val="24"/>
          <w:highlight w:val="none"/>
        </w:rPr>
        <w:t>4.1乙方应保证甲方在使用、接受本合同标的或其任何一部分时不受第三方提出侵犯其专利权、版权、商标权和工业设计权等知识产权的起诉。一旦出现侵权，由乙方负全部责任。</w:t>
      </w:r>
    </w:p>
    <w:p w14:paraId="50604AC4">
      <w:pPr>
        <w:spacing w:before="120" w:after="120" w:line="400" w:lineRule="exact"/>
        <w:rPr>
          <w:rFonts w:ascii="宋体" w:hAnsi="宋体" w:eastAsia="宋体" w:cs="宋体"/>
          <w:sz w:val="24"/>
          <w:szCs w:val="21"/>
          <w:highlight w:val="none"/>
        </w:rPr>
      </w:pPr>
      <w:r>
        <w:rPr>
          <w:rFonts w:hint="eastAsia" w:ascii="宋体" w:hAnsi="宋体" w:eastAsia="宋体" w:cs="宋体"/>
          <w:b/>
          <w:bCs/>
          <w:color w:val="000000"/>
          <w:sz w:val="24"/>
          <w:highlight w:val="none"/>
        </w:rPr>
        <w:t>五、产权担保</w:t>
      </w:r>
    </w:p>
    <w:p w14:paraId="19212B74">
      <w:pPr>
        <w:spacing w:before="120" w:after="120" w:line="400" w:lineRule="exact"/>
        <w:ind w:left="408" w:hanging="408"/>
        <w:rPr>
          <w:rFonts w:ascii="宋体" w:hAnsi="宋体" w:eastAsia="宋体" w:cs="宋体"/>
          <w:sz w:val="24"/>
          <w:szCs w:val="21"/>
          <w:highlight w:val="none"/>
        </w:rPr>
      </w:pPr>
      <w:r>
        <w:rPr>
          <w:rFonts w:hint="eastAsia" w:ascii="宋体" w:hAnsi="宋体" w:eastAsia="宋体" w:cs="宋体"/>
          <w:color w:val="000000"/>
          <w:sz w:val="24"/>
          <w:highlight w:val="none"/>
        </w:rPr>
        <w:t>5.1 乙方保证所交付的合同标的的所有权完全属于乙方且无任何抵押、查封等产权瑕疵。</w:t>
      </w:r>
    </w:p>
    <w:p w14:paraId="288CCA59">
      <w:pPr>
        <w:spacing w:before="120" w:after="120" w:line="400" w:lineRule="exact"/>
        <w:ind w:left="410" w:hanging="410"/>
        <w:rPr>
          <w:rFonts w:ascii="宋体" w:hAnsi="宋体" w:eastAsia="宋体" w:cs="宋体"/>
          <w:b/>
          <w:bCs/>
          <w:color w:val="000000"/>
          <w:sz w:val="24"/>
          <w:highlight w:val="none"/>
        </w:rPr>
      </w:pPr>
      <w:r>
        <w:rPr>
          <w:rFonts w:hint="eastAsia" w:ascii="宋体" w:hAnsi="宋体" w:eastAsia="宋体" w:cs="宋体"/>
          <w:b/>
          <w:bCs/>
          <w:color w:val="000000"/>
          <w:sz w:val="24"/>
          <w:highlight w:val="none"/>
        </w:rPr>
        <w:t>六、履约保证金：履约保证金10%。</w:t>
      </w:r>
    </w:p>
    <w:p w14:paraId="3C3B7D91">
      <w:pPr>
        <w:spacing w:before="145" w:after="145" w:line="400" w:lineRule="exact"/>
        <w:rPr>
          <w:rFonts w:ascii="宋体" w:hAnsi="宋体" w:eastAsia="宋体" w:cs="宋体"/>
          <w:sz w:val="24"/>
          <w:szCs w:val="21"/>
          <w:highlight w:val="none"/>
        </w:rPr>
      </w:pPr>
      <w:r>
        <w:rPr>
          <w:rFonts w:hint="eastAsia" w:ascii="宋体" w:hAnsi="宋体" w:eastAsia="宋体" w:cs="宋体"/>
          <w:b/>
          <w:bCs/>
          <w:color w:val="000000"/>
          <w:sz w:val="24"/>
          <w:highlight w:val="none"/>
        </w:rPr>
        <w:t>七、合同转包或分包</w:t>
      </w:r>
    </w:p>
    <w:p w14:paraId="514CF738">
      <w:pPr>
        <w:spacing w:before="145" w:after="145" w:line="400" w:lineRule="exact"/>
        <w:rPr>
          <w:rFonts w:ascii="宋体" w:hAnsi="宋体" w:eastAsia="宋体" w:cs="宋体"/>
          <w:sz w:val="24"/>
          <w:szCs w:val="21"/>
          <w:highlight w:val="none"/>
        </w:rPr>
      </w:pPr>
      <w:r>
        <w:rPr>
          <w:rFonts w:hint="eastAsia" w:ascii="宋体" w:hAnsi="宋体" w:eastAsia="宋体" w:cs="宋体"/>
          <w:color w:val="000000"/>
          <w:sz w:val="24"/>
          <w:highlight w:val="none"/>
        </w:rPr>
        <w:t>7.1乙方不得将合同标的转包给他人履行。</w:t>
      </w:r>
    </w:p>
    <w:p w14:paraId="10B50D7E">
      <w:pPr>
        <w:spacing w:before="145" w:after="145" w:line="400" w:lineRule="exact"/>
        <w:rPr>
          <w:rFonts w:ascii="宋体" w:hAnsi="宋体" w:eastAsia="宋体" w:cs="宋体"/>
          <w:sz w:val="24"/>
          <w:szCs w:val="21"/>
          <w:highlight w:val="none"/>
        </w:rPr>
      </w:pPr>
      <w:r>
        <w:rPr>
          <w:rFonts w:hint="eastAsia" w:ascii="宋体" w:hAnsi="宋体" w:eastAsia="宋体" w:cs="宋体"/>
          <w:color w:val="000000"/>
          <w:sz w:val="24"/>
          <w:highlight w:val="none"/>
        </w:rPr>
        <w:t>7.2乙方不得将合同标的分包给他人履行。</w:t>
      </w:r>
    </w:p>
    <w:p w14:paraId="0CD34EB4">
      <w:pPr>
        <w:spacing w:before="145" w:after="145" w:line="400" w:lineRule="exact"/>
        <w:rPr>
          <w:rFonts w:ascii="宋体" w:hAnsi="宋体" w:eastAsia="宋体" w:cs="宋体"/>
          <w:sz w:val="24"/>
          <w:szCs w:val="21"/>
          <w:highlight w:val="none"/>
        </w:rPr>
      </w:pPr>
      <w:r>
        <w:rPr>
          <w:rFonts w:hint="eastAsia" w:ascii="宋体" w:hAnsi="宋体" w:eastAsia="宋体" w:cs="宋体"/>
          <w:color w:val="000000"/>
          <w:sz w:val="24"/>
          <w:highlight w:val="none"/>
        </w:rPr>
        <w:t>7.3乙方如有转包或未经甲方同意的分包行为，甲方有权解除合同。</w:t>
      </w:r>
    </w:p>
    <w:p w14:paraId="217EFE26">
      <w:pPr>
        <w:spacing w:before="120" w:after="120" w:line="400" w:lineRule="exact"/>
        <w:rPr>
          <w:rFonts w:ascii="宋体" w:hAnsi="宋体" w:eastAsia="宋体" w:cs="宋体"/>
          <w:sz w:val="24"/>
          <w:szCs w:val="21"/>
          <w:highlight w:val="none"/>
        </w:rPr>
      </w:pPr>
      <w:r>
        <w:rPr>
          <w:rFonts w:hint="eastAsia" w:ascii="宋体" w:hAnsi="宋体" w:eastAsia="宋体" w:cs="宋体"/>
          <w:b/>
          <w:bCs/>
          <w:color w:val="000000"/>
          <w:sz w:val="24"/>
          <w:highlight w:val="none"/>
        </w:rPr>
        <w:t>八、合同款项支付</w:t>
      </w:r>
    </w:p>
    <w:p w14:paraId="1FE8B878">
      <w:pPr>
        <w:spacing w:before="145" w:after="145" w:line="400" w:lineRule="exact"/>
        <w:rPr>
          <w:rFonts w:ascii="宋体" w:hAnsi="宋体" w:eastAsia="宋体" w:cs="宋体"/>
          <w:color w:val="000000"/>
          <w:sz w:val="24"/>
          <w:highlight w:val="none"/>
          <w:u w:val="single"/>
        </w:rPr>
      </w:pPr>
      <w:r>
        <w:rPr>
          <w:rFonts w:hint="eastAsia" w:ascii="宋体" w:hAnsi="宋体" w:eastAsia="宋体" w:cs="宋体"/>
          <w:color w:val="000000"/>
          <w:sz w:val="24"/>
          <w:highlight w:val="none"/>
        </w:rPr>
        <w:t>8.1合同款项的支付方式及进度安排：</w:t>
      </w:r>
      <w:r>
        <w:rPr>
          <w:rFonts w:hint="eastAsia" w:ascii="宋体" w:hAnsi="宋体" w:eastAsia="宋体" w:cs="宋体"/>
          <w:color w:val="000000"/>
          <w:sz w:val="24"/>
          <w:highlight w:val="none"/>
          <w:u w:val="single"/>
        </w:rPr>
        <w:t>合同签订后30日内付合同总金额的10%；VOCs排放“指纹库”、特征污染物名录库及相关信息化模块建成、中期验收合格后30日内付至合同总金额的40%；项目全部建成试运行、验收合格后30日内付至合同总金额的90%；项目正式运行三个月后付至合同总金额的100%。</w:t>
      </w:r>
    </w:p>
    <w:p w14:paraId="3DF9A411">
      <w:pPr>
        <w:spacing w:before="145" w:after="145" w:line="400" w:lineRule="exact"/>
        <w:rPr>
          <w:rFonts w:ascii="宋体" w:hAnsi="宋体" w:eastAsia="宋体" w:cs="宋体"/>
          <w:color w:val="000000"/>
          <w:sz w:val="24"/>
          <w:highlight w:val="none"/>
        </w:rPr>
      </w:pPr>
      <w:r>
        <w:rPr>
          <w:rFonts w:hint="eastAsia" w:ascii="宋体" w:hAnsi="宋体" w:eastAsia="宋体" w:cs="宋体"/>
          <w:color w:val="000000"/>
          <w:sz w:val="24"/>
          <w:highlight w:val="none"/>
        </w:rPr>
        <w:t>8.2 当采购数量与实际使用数量不一致时，乙方根据实际使用量提供产品和服务，合同的最终结算金额按实际使用量乘以成交单价进行计算。</w:t>
      </w:r>
    </w:p>
    <w:p w14:paraId="2D17FD2A">
      <w:pPr>
        <w:spacing w:before="145" w:after="145" w:line="400" w:lineRule="exact"/>
        <w:rPr>
          <w:rFonts w:ascii="宋体" w:hAnsi="宋体" w:eastAsia="宋体" w:cs="宋体"/>
          <w:sz w:val="24"/>
          <w:szCs w:val="21"/>
          <w:highlight w:val="none"/>
        </w:rPr>
      </w:pPr>
      <w:r>
        <w:rPr>
          <w:rFonts w:hint="eastAsia" w:ascii="宋体" w:hAnsi="宋体" w:eastAsia="宋体" w:cs="宋体"/>
          <w:b/>
          <w:bCs/>
          <w:color w:val="000000"/>
          <w:sz w:val="24"/>
          <w:highlight w:val="none"/>
        </w:rPr>
        <w:t>九、税费</w:t>
      </w:r>
    </w:p>
    <w:p w14:paraId="0C57F7B2">
      <w:pPr>
        <w:spacing w:before="145" w:after="145" w:line="400" w:lineRule="exact"/>
        <w:rPr>
          <w:rFonts w:ascii="宋体" w:hAnsi="宋体" w:eastAsia="宋体" w:cs="宋体"/>
          <w:sz w:val="24"/>
          <w:szCs w:val="21"/>
          <w:highlight w:val="none"/>
        </w:rPr>
      </w:pPr>
      <w:r>
        <w:rPr>
          <w:rFonts w:hint="eastAsia" w:ascii="宋体" w:hAnsi="宋体" w:eastAsia="宋体" w:cs="宋体"/>
          <w:color w:val="000000"/>
          <w:sz w:val="24"/>
          <w:highlight w:val="none"/>
        </w:rPr>
        <w:t>9.1本合同执行中相关的一切税费均由乙方负担。</w:t>
      </w:r>
    </w:p>
    <w:p w14:paraId="25C62D6D">
      <w:pPr>
        <w:numPr>
          <w:ilvl w:val="0"/>
          <w:numId w:val="5"/>
        </w:numPr>
        <w:spacing w:before="120" w:after="120" w:line="400" w:lineRule="exact"/>
        <w:rPr>
          <w:rFonts w:ascii="宋体" w:hAnsi="宋体" w:eastAsia="宋体" w:cs="宋体"/>
          <w:b/>
          <w:bCs/>
          <w:color w:val="000000"/>
          <w:sz w:val="24"/>
          <w:highlight w:val="none"/>
        </w:rPr>
      </w:pPr>
      <w:r>
        <w:rPr>
          <w:rFonts w:hint="eastAsia" w:ascii="宋体" w:hAnsi="宋体" w:eastAsia="宋体" w:cs="宋体"/>
          <w:b/>
          <w:bCs/>
          <w:color w:val="000000"/>
          <w:sz w:val="24"/>
          <w:highlight w:val="none"/>
        </w:rPr>
        <w:t>项目验收</w:t>
      </w:r>
    </w:p>
    <w:p w14:paraId="3EC96632">
      <w:pPr>
        <w:spacing w:before="145" w:after="145" w:line="400" w:lineRule="exact"/>
        <w:rPr>
          <w:rFonts w:ascii="宋体" w:hAnsi="宋体" w:eastAsia="宋体" w:cs="宋体"/>
          <w:color w:val="000000"/>
          <w:sz w:val="24"/>
          <w:highlight w:val="none"/>
        </w:rPr>
      </w:pPr>
      <w:r>
        <w:rPr>
          <w:rFonts w:hint="eastAsia" w:ascii="宋体" w:hAnsi="宋体" w:eastAsia="宋体" w:cs="宋体"/>
          <w:color w:val="000000"/>
          <w:sz w:val="24"/>
          <w:highlight w:val="none"/>
        </w:rPr>
        <w:t>1、政府采购合同履约验收条件达到时，甲方应当在5个工作日内启动履约验收工作，并向乙方发出《政府采购履约验收通知单》。</w:t>
      </w:r>
    </w:p>
    <w:p w14:paraId="4F625D76">
      <w:pPr>
        <w:spacing w:before="145" w:after="145" w:line="400" w:lineRule="exact"/>
        <w:rPr>
          <w:rFonts w:ascii="宋体" w:hAnsi="宋体" w:eastAsia="宋体" w:cs="宋体"/>
          <w:color w:val="000000"/>
          <w:sz w:val="24"/>
          <w:highlight w:val="none"/>
        </w:rPr>
      </w:pPr>
      <w:r>
        <w:rPr>
          <w:rFonts w:hint="eastAsia" w:ascii="宋体" w:hAnsi="宋体" w:eastAsia="宋体" w:cs="宋体"/>
          <w:color w:val="000000"/>
          <w:sz w:val="24"/>
          <w:highlight w:val="none"/>
        </w:rPr>
        <w:t>2、甲方负责履约验收具体工作并应当成立验收小组。验收小组由甲方指定的本单位3名(含)以上单数工作人员组成，并确定一名负责人。参与本项目评审的甲方代表不能作为负责人，分期(分段)验收的负责人原则上应当保持一致，负责人不得无故更换。根据采购项目特点和实际需要，可以邀请相关领域专业技术人员等作为验收小组成员参与验收。前期参与本采购项目相关购活动的采购代理机构工作人员、评审专家以及与乙方有利害关系的人员，不得作为验收小组成员参与履约验收。财政部门政府采购监管人员不得作为验收小组成员参与履约验收。技术复杂或专业性强的政府采购项目，可以邀请有资质的第三方专业机构参加验收并出具专业意见。</w:t>
      </w:r>
    </w:p>
    <w:p w14:paraId="0BA854C8">
      <w:pPr>
        <w:spacing w:before="145" w:after="145" w:line="400" w:lineRule="exact"/>
        <w:rPr>
          <w:rFonts w:ascii="宋体" w:hAnsi="宋体" w:eastAsia="宋体" w:cs="宋体"/>
          <w:color w:val="000000"/>
          <w:sz w:val="24"/>
          <w:highlight w:val="none"/>
        </w:rPr>
      </w:pPr>
      <w:r>
        <w:rPr>
          <w:rFonts w:hint="eastAsia" w:ascii="宋体" w:hAnsi="宋体" w:eastAsia="宋体" w:cs="宋体"/>
          <w:color w:val="000000"/>
          <w:sz w:val="24"/>
          <w:highlight w:val="none"/>
        </w:rPr>
        <w:t>3、对于甲方和使用人分离的采购项目，甲方应当邀请实际使用人参与验收。</w:t>
      </w:r>
    </w:p>
    <w:p w14:paraId="53C9391F">
      <w:pPr>
        <w:spacing w:before="145" w:after="145" w:line="400" w:lineRule="exact"/>
        <w:rPr>
          <w:rFonts w:ascii="宋体" w:hAnsi="宋体" w:eastAsia="宋体" w:cs="宋体"/>
          <w:color w:val="000000"/>
          <w:sz w:val="24"/>
          <w:highlight w:val="none"/>
        </w:rPr>
      </w:pPr>
      <w:r>
        <w:rPr>
          <w:rFonts w:hint="eastAsia" w:ascii="宋体" w:hAnsi="宋体" w:eastAsia="宋体" w:cs="宋体"/>
          <w:color w:val="000000"/>
          <w:sz w:val="24"/>
          <w:highlight w:val="none"/>
        </w:rPr>
        <w:t>4、验收小组应当制定验收工作实施方案，按照方案开展验收，出具验收意见。验收意见应当客观真实反映政府采购合同履行情况。履约验收范围应当完整，与政府采购合同一致，不得省略、遗漏和缺失，也不得擅自扩大范围。</w:t>
      </w:r>
    </w:p>
    <w:p w14:paraId="69A14A81">
      <w:pPr>
        <w:spacing w:before="145" w:after="145" w:line="400" w:lineRule="exact"/>
        <w:rPr>
          <w:rFonts w:ascii="宋体" w:hAnsi="宋体" w:eastAsia="宋体" w:cs="宋体"/>
          <w:color w:val="000000"/>
          <w:sz w:val="24"/>
          <w:highlight w:val="none"/>
        </w:rPr>
      </w:pPr>
      <w:r>
        <w:rPr>
          <w:rFonts w:hint="eastAsia" w:ascii="宋体" w:hAnsi="宋体" w:eastAsia="宋体" w:cs="宋体"/>
          <w:color w:val="000000"/>
          <w:sz w:val="24"/>
          <w:highlight w:val="none"/>
        </w:rPr>
        <w:t>5、履约验收标准应当符合政府采购合同约定、法律法规以及国家强制性标准等，对服务类采购项目，可以参照行业标准、专业标准等。验收小组应当按照验收工作实施方案开展验收，对乙方提供服务按照采购文件、投标(响应)文件、封存样品、检测报告、政府采购合同等进行逐一核对、验收，并做好验收记录。</w:t>
      </w:r>
    </w:p>
    <w:p w14:paraId="6BB41472">
      <w:pPr>
        <w:spacing w:before="145" w:after="145" w:line="400" w:lineRule="exact"/>
        <w:rPr>
          <w:rFonts w:ascii="宋体" w:hAnsi="宋体" w:eastAsia="宋体" w:cs="宋体"/>
          <w:color w:val="000000"/>
          <w:sz w:val="24"/>
          <w:highlight w:val="none"/>
        </w:rPr>
      </w:pPr>
      <w:r>
        <w:rPr>
          <w:rFonts w:hint="eastAsia" w:ascii="宋体" w:hAnsi="宋体" w:eastAsia="宋体" w:cs="宋体"/>
          <w:color w:val="000000"/>
          <w:sz w:val="24"/>
          <w:highlight w:val="none"/>
        </w:rPr>
        <w:t>6、甲方、乙方应当对验收小组出具的验收意见进行确认，并形成政府采购履约验收书。对验收意见存在异议的，甲方与乙方双方可以协商解决，或通过法律途径解决。项目履约验收合格的，甲方应当根据政府采购合同约定及时向乙方支付采购资金、退还履约保证金，不得拖延、拖欠或非法扣留。项目验收不合格的，甲方应当停止支付采购资金，并按照政府采购合同约定追究乙方违约责任。</w:t>
      </w:r>
    </w:p>
    <w:p w14:paraId="76815498">
      <w:pPr>
        <w:spacing w:before="145" w:after="145" w:line="400" w:lineRule="exact"/>
        <w:rPr>
          <w:rFonts w:ascii="宋体" w:hAnsi="宋体" w:eastAsia="宋体" w:cs="宋体"/>
          <w:color w:val="000000"/>
          <w:sz w:val="24"/>
          <w:highlight w:val="none"/>
        </w:rPr>
      </w:pPr>
      <w:r>
        <w:rPr>
          <w:rFonts w:hint="eastAsia" w:ascii="宋体" w:hAnsi="宋体" w:eastAsia="宋体" w:cs="宋体"/>
          <w:color w:val="000000"/>
          <w:sz w:val="24"/>
          <w:highlight w:val="none"/>
        </w:rPr>
        <w:t>7、对履约验收发生的检测(检验)费等费用支出、验收小组成员中的专业技术人员费用支出由乙方承担，执行标准可参照江苏省政府采购专家评审费，</w:t>
      </w:r>
    </w:p>
    <w:p w14:paraId="5A973CBC">
      <w:pPr>
        <w:spacing w:before="145" w:after="145" w:line="400" w:lineRule="exact"/>
        <w:rPr>
          <w:rFonts w:ascii="宋体" w:hAnsi="宋体" w:eastAsia="宋体" w:cs="宋体"/>
          <w:color w:val="000000"/>
          <w:sz w:val="24"/>
          <w:highlight w:val="none"/>
        </w:rPr>
      </w:pPr>
      <w:r>
        <w:rPr>
          <w:rFonts w:hint="eastAsia" w:ascii="宋体" w:hAnsi="宋体" w:eastAsia="宋体" w:cs="宋体"/>
          <w:color w:val="000000"/>
          <w:sz w:val="24"/>
          <w:highlight w:val="none"/>
        </w:rPr>
        <w:t>8、履约验收过程中的政府采购合同履行、违约责任和争议解决等事项，按照《中华人民共和国民法典》等法律法规和政府采购合同约定执行。</w:t>
      </w:r>
    </w:p>
    <w:p w14:paraId="7701D953">
      <w:pPr>
        <w:spacing w:before="120" w:after="120" w:line="400" w:lineRule="exact"/>
        <w:rPr>
          <w:rFonts w:ascii="宋体" w:hAnsi="宋体" w:eastAsia="宋体" w:cs="宋体"/>
          <w:sz w:val="24"/>
          <w:szCs w:val="21"/>
          <w:highlight w:val="none"/>
        </w:rPr>
      </w:pPr>
      <w:r>
        <w:rPr>
          <w:rFonts w:hint="eastAsia" w:ascii="宋体" w:hAnsi="宋体" w:eastAsia="宋体" w:cs="宋体"/>
          <w:b/>
          <w:bCs/>
          <w:color w:val="000000"/>
          <w:sz w:val="24"/>
          <w:highlight w:val="none"/>
        </w:rPr>
        <w:t>十一、违约责任</w:t>
      </w:r>
    </w:p>
    <w:p w14:paraId="1CFB4DF9">
      <w:pPr>
        <w:spacing w:line="400" w:lineRule="exact"/>
        <w:rPr>
          <w:rFonts w:ascii="宋体" w:hAnsi="宋体" w:eastAsia="宋体" w:cs="宋体"/>
          <w:sz w:val="24"/>
          <w:szCs w:val="21"/>
          <w:highlight w:val="none"/>
        </w:rPr>
      </w:pPr>
      <w:r>
        <w:rPr>
          <w:rFonts w:hint="eastAsia" w:ascii="宋体" w:hAnsi="宋体" w:eastAsia="宋体" w:cs="宋体"/>
          <w:color w:val="000000"/>
          <w:sz w:val="24"/>
          <w:highlight w:val="none"/>
        </w:rPr>
        <w:t>11.1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宋体" w:hAnsi="宋体" w:eastAsia="宋体" w:cs="宋体"/>
          <w:color w:val="000000"/>
          <w:sz w:val="24"/>
          <w:highlight w:val="none"/>
          <w:u w:val="single"/>
        </w:rPr>
        <w:t>百分之五</w:t>
      </w:r>
      <w:r>
        <w:rPr>
          <w:rFonts w:hint="eastAsia" w:ascii="宋体" w:hAnsi="宋体" w:eastAsia="宋体" w:cs="宋体"/>
          <w:color w:val="000000"/>
          <w:sz w:val="24"/>
          <w:highlight w:val="none"/>
        </w:rPr>
        <w:t xml:space="preserve">的违约金，如造成甲方损失超过违约金的，超出部分由乙方继续承担赔偿责任。 </w:t>
      </w:r>
    </w:p>
    <w:p w14:paraId="6FEB1701">
      <w:pPr>
        <w:spacing w:line="400" w:lineRule="exact"/>
        <w:rPr>
          <w:rFonts w:ascii="宋体" w:hAnsi="宋体" w:eastAsia="宋体" w:cs="宋体"/>
          <w:sz w:val="24"/>
          <w:szCs w:val="21"/>
          <w:highlight w:val="none"/>
        </w:rPr>
      </w:pPr>
      <w:r>
        <w:rPr>
          <w:rFonts w:hint="eastAsia" w:ascii="宋体" w:hAnsi="宋体" w:eastAsia="宋体" w:cs="宋体"/>
          <w:color w:val="000000"/>
          <w:sz w:val="24"/>
          <w:highlight w:val="none"/>
        </w:rPr>
        <w:t>11.2 乙方交付合同标的的标准不符合合同规定及招标文件规定标准的，甲方有权拒绝接受合同标的，并可单方面解除合同。</w:t>
      </w:r>
    </w:p>
    <w:p w14:paraId="28DE817E">
      <w:pPr>
        <w:spacing w:before="120" w:after="120" w:line="400" w:lineRule="exact"/>
        <w:rPr>
          <w:rFonts w:ascii="宋体" w:hAnsi="宋体" w:eastAsia="宋体" w:cs="宋体"/>
          <w:sz w:val="24"/>
          <w:szCs w:val="21"/>
          <w:highlight w:val="none"/>
        </w:rPr>
      </w:pPr>
      <w:r>
        <w:rPr>
          <w:rFonts w:hint="eastAsia" w:ascii="宋体" w:hAnsi="宋体" w:eastAsia="宋体" w:cs="宋体"/>
          <w:b/>
          <w:bCs/>
          <w:color w:val="000000"/>
          <w:sz w:val="24"/>
          <w:highlight w:val="none"/>
        </w:rPr>
        <w:t>十二、不可抗力事件处理</w:t>
      </w:r>
    </w:p>
    <w:p w14:paraId="7B1A89A0">
      <w:pPr>
        <w:spacing w:line="400" w:lineRule="exact"/>
        <w:rPr>
          <w:rFonts w:ascii="宋体" w:hAnsi="宋体" w:eastAsia="宋体" w:cs="宋体"/>
          <w:sz w:val="24"/>
          <w:szCs w:val="21"/>
          <w:highlight w:val="none"/>
        </w:rPr>
      </w:pPr>
      <w:r>
        <w:rPr>
          <w:rFonts w:hint="eastAsia" w:ascii="宋体" w:hAnsi="宋体" w:eastAsia="宋体" w:cs="宋体"/>
          <w:color w:val="000000"/>
          <w:sz w:val="24"/>
          <w:highlight w:val="none"/>
        </w:rPr>
        <w:t>12.1 在合同有效期内，任何一方因不可抗力事件导致不能履行合同，则合同履行期可延长，其延长期与不可抗力影响期相同。</w:t>
      </w:r>
    </w:p>
    <w:p w14:paraId="441EAA92">
      <w:pPr>
        <w:spacing w:before="120" w:after="120" w:line="400" w:lineRule="exact"/>
        <w:rPr>
          <w:rFonts w:ascii="宋体" w:hAnsi="宋体" w:eastAsia="宋体" w:cs="宋体"/>
          <w:sz w:val="24"/>
          <w:szCs w:val="21"/>
          <w:highlight w:val="none"/>
        </w:rPr>
      </w:pPr>
      <w:r>
        <w:rPr>
          <w:rFonts w:hint="eastAsia" w:ascii="宋体" w:hAnsi="宋体" w:eastAsia="宋体" w:cs="宋体"/>
          <w:color w:val="000000"/>
          <w:sz w:val="24"/>
          <w:highlight w:val="none"/>
        </w:rPr>
        <w:t>12.2 不可抗力事件发生后，应立即通知对方，并寄送有关权威机构出具的证明。</w:t>
      </w:r>
    </w:p>
    <w:p w14:paraId="67828F29">
      <w:pPr>
        <w:spacing w:before="120" w:after="120" w:line="400" w:lineRule="exact"/>
        <w:rPr>
          <w:rFonts w:ascii="宋体" w:hAnsi="宋体" w:eastAsia="宋体" w:cs="宋体"/>
          <w:sz w:val="24"/>
          <w:szCs w:val="21"/>
          <w:highlight w:val="none"/>
        </w:rPr>
      </w:pPr>
      <w:r>
        <w:rPr>
          <w:rFonts w:hint="eastAsia" w:ascii="宋体" w:hAnsi="宋体" w:eastAsia="宋体" w:cs="宋体"/>
          <w:color w:val="000000"/>
          <w:sz w:val="24"/>
          <w:highlight w:val="none"/>
        </w:rPr>
        <w:t>12.3 不可抗力事件延续120天以上，双方应通过友好协商，确定是否继续履行合同。</w:t>
      </w:r>
    </w:p>
    <w:p w14:paraId="16BAF5DC">
      <w:pPr>
        <w:spacing w:before="120" w:after="120" w:line="400" w:lineRule="exact"/>
        <w:rPr>
          <w:rFonts w:ascii="宋体" w:hAnsi="宋体" w:eastAsia="宋体" w:cs="宋体"/>
          <w:sz w:val="24"/>
          <w:szCs w:val="21"/>
          <w:highlight w:val="none"/>
        </w:rPr>
      </w:pPr>
      <w:r>
        <w:rPr>
          <w:rFonts w:hint="eastAsia" w:ascii="宋体" w:hAnsi="宋体" w:eastAsia="宋体" w:cs="宋体"/>
          <w:b/>
          <w:bCs/>
          <w:color w:val="000000"/>
          <w:sz w:val="24"/>
          <w:highlight w:val="none"/>
        </w:rPr>
        <w:t>十三、解决争议的方法</w:t>
      </w:r>
    </w:p>
    <w:p w14:paraId="1D76A3DC">
      <w:pPr>
        <w:spacing w:line="400" w:lineRule="exact"/>
        <w:jc w:val="left"/>
        <w:rPr>
          <w:rFonts w:ascii="宋体" w:hAnsi="宋体" w:eastAsia="宋体" w:cs="Times New Roman"/>
          <w:kern w:val="0"/>
          <w:sz w:val="24"/>
          <w:highlight w:val="none"/>
        </w:rPr>
      </w:pPr>
      <w:r>
        <w:rPr>
          <w:rFonts w:hint="eastAsia" w:ascii="宋体" w:hAnsi="宋体" w:eastAsia="宋体" w:cs="宋体"/>
          <w:color w:val="000000"/>
          <w:kern w:val="0"/>
          <w:sz w:val="24"/>
          <w:highlight w:val="none"/>
        </w:rPr>
        <w:t>13.1</w:t>
      </w:r>
      <w:r>
        <w:rPr>
          <w:rFonts w:ascii="宋体" w:hAnsi="宋体" w:eastAsia="宋体" w:cs="Times New Roman"/>
          <w:kern w:val="0"/>
          <w:sz w:val="24"/>
          <w:highlight w:val="none"/>
        </w:rPr>
        <w:t>甲、乙</w:t>
      </w:r>
      <w:r>
        <w:rPr>
          <w:rFonts w:hint="eastAsia" w:ascii="宋体" w:hAnsi="宋体" w:eastAsia="宋体" w:cs="Times New Roman"/>
          <w:kern w:val="0"/>
          <w:sz w:val="24"/>
          <w:highlight w:val="none"/>
        </w:rPr>
        <w:t>双方在执行合同中所发生的一切争议，</w:t>
      </w:r>
      <w:r>
        <w:rPr>
          <w:rFonts w:hint="eastAsia" w:ascii="宋体" w:hAnsi="宋体" w:eastAsia="宋体" w:cs="宋体"/>
          <w:color w:val="000000"/>
          <w:kern w:val="0"/>
          <w:sz w:val="24"/>
          <w:highlight w:val="none"/>
        </w:rPr>
        <w:t>应通过友好协商解决</w:t>
      </w:r>
      <w:r>
        <w:rPr>
          <w:rFonts w:hint="eastAsia" w:ascii="宋体" w:hAnsi="宋体" w:eastAsia="宋体" w:cs="Times New Roman"/>
          <w:kern w:val="0"/>
          <w:sz w:val="24"/>
          <w:highlight w:val="none"/>
        </w:rPr>
        <w:t>。如协商不成，按下列第</w:t>
      </w:r>
      <w:r>
        <w:rPr>
          <w:rFonts w:hint="eastAsia" w:ascii="宋体" w:hAnsi="宋体" w:eastAsia="宋体" w:cs="Times New Roman"/>
          <w:kern w:val="0"/>
          <w:sz w:val="24"/>
          <w:highlight w:val="none"/>
          <w:u w:val="single"/>
        </w:rPr>
        <w:t xml:space="preserve"> （2） </w:t>
      </w:r>
      <w:r>
        <w:rPr>
          <w:rFonts w:hint="eastAsia" w:ascii="宋体" w:hAnsi="宋体" w:eastAsia="宋体" w:cs="Times New Roman"/>
          <w:kern w:val="0"/>
          <w:sz w:val="24"/>
          <w:highlight w:val="none"/>
        </w:rPr>
        <w:t>种方式解决：</w:t>
      </w:r>
    </w:p>
    <w:p w14:paraId="6B78E578">
      <w:pPr>
        <w:spacing w:line="400" w:lineRule="exact"/>
        <w:jc w:val="left"/>
        <w:rPr>
          <w:rFonts w:ascii="宋体" w:hAnsi="宋体" w:eastAsia="宋体" w:cs="Times New Roman"/>
          <w:kern w:val="0"/>
          <w:sz w:val="24"/>
          <w:highlight w:val="none"/>
        </w:rPr>
      </w:pPr>
      <w:r>
        <w:rPr>
          <w:rFonts w:hint="eastAsia" w:ascii="宋体" w:hAnsi="宋体" w:eastAsia="宋体" w:cs="Times New Roman"/>
          <w:kern w:val="0"/>
          <w:sz w:val="24"/>
          <w:highlight w:val="none"/>
        </w:rPr>
        <w:t>（1）向连云港仲裁委员会申请仲裁。</w:t>
      </w:r>
    </w:p>
    <w:p w14:paraId="18080F6D">
      <w:pPr>
        <w:spacing w:line="400" w:lineRule="exact"/>
        <w:jc w:val="left"/>
        <w:rPr>
          <w:rFonts w:ascii="Times New Roman" w:hAnsi="Times New Roman" w:eastAsia="宋体" w:cs="Times New Roman"/>
          <w:kern w:val="0"/>
          <w:szCs w:val="21"/>
          <w:highlight w:val="none"/>
        </w:rPr>
      </w:pPr>
      <w:r>
        <w:rPr>
          <w:rFonts w:hint="eastAsia" w:ascii="宋体" w:hAnsi="宋体" w:eastAsia="宋体" w:cs="Times New Roman"/>
          <w:kern w:val="0"/>
          <w:sz w:val="24"/>
          <w:highlight w:val="none"/>
        </w:rPr>
        <w:t>（2）向合同签订地法院起诉，合同签订地在此约定为连云港市灌云县。</w:t>
      </w:r>
    </w:p>
    <w:p w14:paraId="0844928E">
      <w:pPr>
        <w:spacing w:before="120" w:after="120" w:line="400" w:lineRule="exact"/>
        <w:rPr>
          <w:rFonts w:ascii="宋体" w:hAnsi="宋体" w:eastAsia="宋体" w:cs="宋体"/>
          <w:sz w:val="24"/>
          <w:szCs w:val="21"/>
          <w:highlight w:val="none"/>
        </w:rPr>
      </w:pPr>
      <w:r>
        <w:rPr>
          <w:rFonts w:hint="eastAsia" w:ascii="宋体" w:hAnsi="宋体" w:eastAsia="宋体" w:cs="宋体"/>
          <w:b/>
          <w:bCs/>
          <w:color w:val="000000"/>
          <w:sz w:val="24"/>
          <w:highlight w:val="none"/>
        </w:rPr>
        <w:t>十四、合同生效及其它</w:t>
      </w:r>
    </w:p>
    <w:p w14:paraId="49B70FC7">
      <w:pPr>
        <w:spacing w:before="120" w:after="120" w:line="400" w:lineRule="exact"/>
        <w:rPr>
          <w:rFonts w:ascii="宋体" w:hAnsi="宋体" w:eastAsia="宋体" w:cs="宋体"/>
          <w:sz w:val="24"/>
          <w:szCs w:val="21"/>
          <w:highlight w:val="none"/>
        </w:rPr>
      </w:pPr>
      <w:r>
        <w:rPr>
          <w:rFonts w:hint="eastAsia" w:ascii="宋体" w:hAnsi="宋体" w:eastAsia="宋体" w:cs="宋体"/>
          <w:color w:val="000000"/>
          <w:sz w:val="24"/>
          <w:highlight w:val="none"/>
        </w:rPr>
        <w:t>14.1 合同经双方法定代表人或授权委托代表人</w:t>
      </w:r>
      <w:r>
        <w:rPr>
          <w:rFonts w:hint="eastAsia" w:ascii="宋体" w:hAnsi="宋体" w:eastAsia="宋体" w:cs="宋体"/>
          <w:b/>
          <w:bCs/>
          <w:color w:val="000000"/>
          <w:sz w:val="24"/>
          <w:highlight w:val="none"/>
          <w:u w:val="single"/>
        </w:rPr>
        <w:t>签字或盖章并加盖单位公章后</w:t>
      </w:r>
      <w:r>
        <w:rPr>
          <w:rFonts w:hint="eastAsia" w:ascii="宋体" w:hAnsi="宋体" w:eastAsia="宋体" w:cs="宋体"/>
          <w:color w:val="000000"/>
          <w:sz w:val="24"/>
          <w:highlight w:val="none"/>
        </w:rPr>
        <w:t>生效。</w:t>
      </w:r>
    </w:p>
    <w:p w14:paraId="0EE515FE">
      <w:pPr>
        <w:spacing w:before="120" w:after="120" w:line="400" w:lineRule="exact"/>
        <w:rPr>
          <w:rFonts w:ascii="宋体" w:hAnsi="宋体" w:eastAsia="宋体" w:cs="宋体"/>
          <w:sz w:val="24"/>
          <w:szCs w:val="21"/>
          <w:highlight w:val="none"/>
        </w:rPr>
      </w:pPr>
      <w:r>
        <w:rPr>
          <w:rFonts w:hint="eastAsia" w:ascii="宋体" w:hAnsi="宋体" w:eastAsia="宋体" w:cs="宋体"/>
          <w:color w:val="000000"/>
          <w:sz w:val="24"/>
          <w:highlight w:val="none"/>
        </w:rPr>
        <w:t>14.2本合同未尽事宜，遵照《民法典》、《政府采购法》有关条文执行。</w:t>
      </w:r>
    </w:p>
    <w:p w14:paraId="05897CCE">
      <w:pPr>
        <w:spacing w:before="120" w:after="120" w:line="400" w:lineRule="exact"/>
        <w:ind w:left="480" w:hanging="480"/>
        <w:rPr>
          <w:rFonts w:ascii="宋体" w:hAnsi="宋体" w:eastAsia="宋体" w:cs="宋体"/>
          <w:sz w:val="24"/>
          <w:szCs w:val="21"/>
          <w:highlight w:val="none"/>
        </w:rPr>
      </w:pPr>
      <w:r>
        <w:rPr>
          <w:rFonts w:hint="eastAsia" w:ascii="宋体" w:hAnsi="宋体" w:eastAsia="宋体" w:cs="宋体"/>
          <w:color w:val="000000"/>
          <w:sz w:val="24"/>
          <w:highlight w:val="none"/>
        </w:rPr>
        <w:t>14.3 本合同正本一式陆份，具有同等法律效力，甲方、乙方及财政监管部门各执二份。</w:t>
      </w:r>
    </w:p>
    <w:p w14:paraId="0685A1E9">
      <w:pPr>
        <w:spacing w:before="120" w:after="120" w:line="400" w:lineRule="exact"/>
        <w:ind w:left="480" w:hanging="480"/>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w:t>
      </w:r>
    </w:p>
    <w:p w14:paraId="4FA12E87">
      <w:pPr>
        <w:spacing w:before="120" w:after="120" w:line="400" w:lineRule="exact"/>
        <w:ind w:left="480" w:hanging="480"/>
        <w:rPr>
          <w:rFonts w:ascii="宋体" w:hAnsi="宋体" w:eastAsia="宋体" w:cs="宋体"/>
          <w:sz w:val="24"/>
          <w:szCs w:val="21"/>
          <w:highlight w:val="none"/>
        </w:rPr>
      </w:pPr>
      <w:r>
        <w:rPr>
          <w:rFonts w:hint="eastAsia" w:ascii="宋体" w:hAnsi="宋体" w:eastAsia="宋体" w:cs="宋体"/>
          <w:color w:val="000000"/>
          <w:sz w:val="24"/>
          <w:highlight w:val="none"/>
        </w:rPr>
        <w:t xml:space="preserve">甲方（公章）：                乙方（公章）： </w:t>
      </w:r>
    </w:p>
    <w:p w14:paraId="7582C46F">
      <w:pPr>
        <w:spacing w:before="120" w:after="120" w:line="40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地址：                     地址： </w:t>
      </w:r>
    </w:p>
    <w:p w14:paraId="34B6DCE5">
      <w:pPr>
        <w:spacing w:before="120" w:after="120" w:line="400" w:lineRule="exact"/>
        <w:rPr>
          <w:rFonts w:ascii="宋体" w:hAnsi="宋体" w:eastAsia="宋体" w:cs="宋体"/>
          <w:color w:val="000000"/>
          <w:sz w:val="24"/>
          <w:highlight w:val="none"/>
        </w:rPr>
      </w:pPr>
      <w:r>
        <w:rPr>
          <w:rFonts w:hint="eastAsia" w:ascii="宋体" w:hAnsi="宋体" w:eastAsia="宋体" w:cs="宋体"/>
          <w:color w:val="000000"/>
          <w:sz w:val="24"/>
          <w:highlight w:val="none"/>
        </w:rPr>
        <w:t>法定代表人或授权代表                法定代表人或授权代表：</w:t>
      </w:r>
    </w:p>
    <w:p w14:paraId="66451FB8">
      <w:pPr>
        <w:spacing w:before="120" w:after="120" w:line="40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（签字或盖章）：                           （签字或盖章）： </w:t>
      </w:r>
    </w:p>
    <w:p w14:paraId="04DED095">
      <w:pPr>
        <w:spacing w:line="400" w:lineRule="exact"/>
        <w:jc w:val="lef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联系电话：                         联系电话：             </w:t>
      </w:r>
    </w:p>
    <w:p w14:paraId="72F48578">
      <w:pPr>
        <w:spacing w:line="400" w:lineRule="exact"/>
        <w:jc w:val="left"/>
        <w:rPr>
          <w:rFonts w:ascii="宋体" w:hAnsi="宋体" w:eastAsia="宋体" w:cs="宋体"/>
          <w:sz w:val="24"/>
          <w:highlight w:val="none"/>
        </w:rPr>
      </w:pPr>
      <w:r>
        <w:rPr>
          <w:rFonts w:hint="eastAsia" w:ascii="宋体" w:hAnsi="宋体" w:eastAsia="宋体" w:cs="宋体"/>
          <w:sz w:val="24"/>
          <w:highlight w:val="none"/>
        </w:rPr>
        <w:t>签订日期：2025 年  月  日                 签订日期：  年   月  日</w:t>
      </w:r>
    </w:p>
    <w:p w14:paraId="29B14647">
      <w:pPr>
        <w:rPr>
          <w:rFonts w:ascii="黑体" w:hAnsi="Times New Roman" w:eastAsia="黑体" w:cs="Times New Roman"/>
          <w:bCs/>
          <w:color w:val="000000"/>
          <w:kern w:val="0"/>
          <w:sz w:val="44"/>
          <w:szCs w:val="21"/>
          <w:highlight w:val="none"/>
        </w:rPr>
      </w:pPr>
      <w:r>
        <w:rPr>
          <w:rFonts w:hint="eastAsia" w:ascii="黑体" w:hAnsi="Times New Roman" w:eastAsia="黑体" w:cs="Times New Roman"/>
          <w:bCs/>
          <w:color w:val="000000"/>
          <w:kern w:val="0"/>
          <w:sz w:val="44"/>
          <w:szCs w:val="21"/>
          <w:highlight w:val="none"/>
        </w:rPr>
        <w:br w:type="page"/>
      </w:r>
    </w:p>
    <w:p w14:paraId="10E1EB09">
      <w:pPr>
        <w:keepNext/>
        <w:jc w:val="center"/>
        <w:outlineLvl w:val="0"/>
        <w:rPr>
          <w:rFonts w:ascii="黑体" w:hAnsi="Times New Roman" w:eastAsia="黑体" w:cs="Times New Roman"/>
          <w:bCs/>
          <w:color w:val="000000"/>
          <w:sz w:val="44"/>
          <w:szCs w:val="28"/>
          <w:highlight w:val="none"/>
        </w:rPr>
      </w:pPr>
      <w:r>
        <w:rPr>
          <w:rFonts w:hint="eastAsia" w:ascii="黑体" w:hAnsi="Times New Roman" w:eastAsia="黑体" w:cs="Times New Roman"/>
          <w:bCs/>
          <w:color w:val="000000"/>
          <w:sz w:val="44"/>
          <w:szCs w:val="28"/>
          <w:highlight w:val="none"/>
        </w:rPr>
        <w:t>第</w:t>
      </w:r>
      <w:bookmarkEnd w:id="129"/>
      <w:r>
        <w:rPr>
          <w:rFonts w:hint="eastAsia" w:ascii="黑体" w:hAnsi="Times New Roman" w:eastAsia="黑体" w:cs="Times New Roman"/>
          <w:bCs/>
          <w:color w:val="000000"/>
          <w:sz w:val="44"/>
          <w:szCs w:val="28"/>
          <w:highlight w:val="none"/>
        </w:rPr>
        <w:t>四章 采购需求</w:t>
      </w:r>
      <w:bookmarkEnd w:id="130"/>
      <w:bookmarkEnd w:id="131"/>
      <w:bookmarkEnd w:id="132"/>
    </w:p>
    <w:p w14:paraId="4602788F">
      <w:pPr>
        <w:rPr>
          <w:rFonts w:ascii="宋体" w:hAnsi="宋体" w:eastAsia="宋体" w:cs="宋体"/>
          <w:b/>
          <w:color w:val="000000"/>
          <w:sz w:val="24"/>
          <w:highlight w:val="none"/>
        </w:rPr>
      </w:pPr>
      <w:bookmarkStart w:id="138" w:name="_Toc49090575"/>
      <w:bookmarkStart w:id="139" w:name="_Toc26554093"/>
      <w:r>
        <w:rPr>
          <w:rFonts w:hint="eastAsia" w:ascii="宋体" w:hAnsi="宋体" w:eastAsia="宋体" w:cs="宋体"/>
          <w:b/>
          <w:color w:val="000000"/>
          <w:sz w:val="24"/>
          <w:highlight w:val="none"/>
        </w:rPr>
        <w:t xml:space="preserve">一、项目说明 </w:t>
      </w:r>
    </w:p>
    <w:p w14:paraId="67D7D9F1">
      <w:pPr>
        <w:spacing w:line="360" w:lineRule="auto"/>
        <w:ind w:firstLine="480"/>
        <w:jc w:val="left"/>
        <w:rPr>
          <w:rFonts w:ascii="宋体" w:hAnsi="宋体" w:eastAsia="宋体" w:cs="宋体"/>
          <w:b/>
          <w:kern w:val="0"/>
          <w:sz w:val="24"/>
          <w:highlight w:val="none"/>
        </w:rPr>
      </w:pPr>
      <w:r>
        <w:rPr>
          <w:rFonts w:hint="eastAsia" w:ascii="Times New Roman" w:hAnsi="Times New Roman" w:eastAsia="宋体" w:cs="Times New Roman"/>
          <w:b/>
          <w:kern w:val="0"/>
          <w:sz w:val="24"/>
          <w:highlight w:val="none"/>
        </w:rPr>
        <w:t>一、说明：本项目属性为</w:t>
      </w:r>
      <w:r>
        <w:rPr>
          <w:rFonts w:hint="eastAsia" w:ascii="Times New Roman" w:hAnsi="Times New Roman" w:eastAsia="宋体" w:cs="Times New Roman"/>
          <w:b/>
          <w:kern w:val="0"/>
          <w:sz w:val="24"/>
          <w:highlight w:val="none"/>
          <w:u w:val="single"/>
        </w:rPr>
        <w:t>服务</w:t>
      </w:r>
      <w:r>
        <w:rPr>
          <w:rFonts w:hint="eastAsia" w:ascii="Times New Roman" w:hAnsi="Times New Roman" w:eastAsia="宋体" w:cs="Times New Roman"/>
          <w:b/>
          <w:kern w:val="0"/>
          <w:sz w:val="24"/>
          <w:highlight w:val="none"/>
        </w:rPr>
        <w:t>，</w:t>
      </w:r>
      <w:r>
        <w:rPr>
          <w:rFonts w:hint="eastAsia" w:ascii="宋体" w:hAnsi="宋体" w:eastAsia="宋体" w:cs="宋体"/>
          <w:b/>
          <w:kern w:val="0"/>
          <w:sz w:val="24"/>
          <w:highlight w:val="none"/>
        </w:rPr>
        <w:t>采购方式为公开招标，采购标的对应的中小企业划分标准所属行业为其</w:t>
      </w:r>
      <w:r>
        <w:rPr>
          <w:rFonts w:hint="eastAsia" w:ascii="宋体" w:hAnsi="宋体" w:eastAsia="宋体" w:cs="宋体"/>
          <w:b/>
          <w:kern w:val="0"/>
          <w:sz w:val="24"/>
          <w:highlight w:val="none"/>
          <w:u w:val="single"/>
        </w:rPr>
        <w:t>他未列明行业 。</w:t>
      </w:r>
    </w:p>
    <w:p w14:paraId="5ED0E424">
      <w:pPr>
        <w:spacing w:line="360" w:lineRule="auto"/>
        <w:ind w:firstLine="480"/>
        <w:jc w:val="left"/>
        <w:rPr>
          <w:rFonts w:ascii="宋体" w:hAnsi="宋体" w:eastAsia="宋体" w:cs="宋体"/>
          <w:kern w:val="0"/>
          <w:sz w:val="24"/>
          <w:highlight w:val="none"/>
        </w:rPr>
      </w:pPr>
      <w:r>
        <w:rPr>
          <w:rFonts w:hint="eastAsia" w:ascii="宋体" w:hAnsi="宋体" w:eastAsia="宋体" w:cs="宋体"/>
          <w:kern w:val="0"/>
          <w:sz w:val="24"/>
          <w:highlight w:val="none"/>
          <w:u w:val="single"/>
        </w:rPr>
        <w:t>其他未列明</w:t>
      </w:r>
      <w:r>
        <w:rPr>
          <w:rFonts w:hint="eastAsia" w:ascii="宋体" w:hAnsi="宋体" w:eastAsia="宋体" w:cs="宋体"/>
          <w:kern w:val="0"/>
          <w:sz w:val="24"/>
          <w:highlight w:val="none"/>
        </w:rPr>
        <w:t>行业划型标准：从业人员300人以下的为中小微型企业。其中，从业人员100人及以上的为中型企业；从业人员10人及以上的为小型企业；从业人员10人以下的为微型企业。</w:t>
      </w:r>
    </w:p>
    <w:p w14:paraId="0ECD2102">
      <w:pPr>
        <w:spacing w:line="460" w:lineRule="exact"/>
        <w:rPr>
          <w:rFonts w:ascii="宋体" w:hAnsi="宋体" w:eastAsia="宋体" w:cs="Times New Roman"/>
          <w:b/>
          <w:bCs/>
          <w:color w:val="000000"/>
          <w:kern w:val="0"/>
          <w:sz w:val="24"/>
          <w:highlight w:val="none"/>
        </w:rPr>
      </w:pPr>
      <w:r>
        <w:rPr>
          <w:rFonts w:hint="eastAsia" w:ascii="宋体" w:hAnsi="宋体" w:eastAsia="宋体" w:cs="Times New Roman"/>
          <w:b/>
          <w:bCs/>
          <w:color w:val="000000"/>
          <w:kern w:val="0"/>
          <w:sz w:val="24"/>
          <w:highlight w:val="none"/>
        </w:rPr>
        <w:t>1.根据《政府采购需求管理办法》等有关规定，采购人确定采购需求。</w:t>
      </w:r>
    </w:p>
    <w:p w14:paraId="6E77FABA">
      <w:pPr>
        <w:spacing w:line="460" w:lineRule="exact"/>
        <w:rPr>
          <w:rFonts w:ascii="宋体" w:hAnsi="宋体" w:eastAsia="宋体" w:cs="Times New Roman"/>
          <w:b/>
          <w:bCs/>
          <w:color w:val="000000"/>
          <w:kern w:val="0"/>
          <w:sz w:val="24"/>
          <w:highlight w:val="none"/>
        </w:rPr>
      </w:pPr>
      <w:r>
        <w:rPr>
          <w:rFonts w:hint="eastAsia" w:ascii="宋体" w:hAnsi="宋体" w:eastAsia="宋体" w:cs="Times New Roman"/>
          <w:b/>
          <w:bCs/>
          <w:color w:val="000000"/>
          <w:kern w:val="0"/>
          <w:sz w:val="24"/>
          <w:highlight w:val="none"/>
        </w:rPr>
        <w:t>2.项目采购方式为：公开招标；</w:t>
      </w:r>
    </w:p>
    <w:p w14:paraId="0BDAA9D5">
      <w:pPr>
        <w:spacing w:line="360" w:lineRule="auto"/>
        <w:jc w:val="left"/>
        <w:rPr>
          <w:rFonts w:ascii="宋体" w:hAnsi="宋体" w:eastAsia="宋体" w:cs="Times New Roman"/>
          <w:b/>
          <w:bCs/>
          <w:color w:val="000000"/>
          <w:kern w:val="0"/>
          <w:sz w:val="24"/>
          <w:highlight w:val="none"/>
        </w:rPr>
      </w:pPr>
      <w:r>
        <w:rPr>
          <w:rFonts w:hint="eastAsia" w:ascii="宋体" w:hAnsi="宋体" w:eastAsia="宋体" w:cs="Times New Roman"/>
          <w:b/>
          <w:color w:val="000000"/>
          <w:kern w:val="0"/>
          <w:sz w:val="24"/>
          <w:highlight w:val="none"/>
        </w:rPr>
        <w:t>3.</w:t>
      </w:r>
      <w:r>
        <w:rPr>
          <w:rFonts w:hint="eastAsia" w:ascii="宋体" w:hAnsi="宋体" w:eastAsia="宋体" w:cs="Times New Roman"/>
          <w:b/>
          <w:bCs/>
          <w:color w:val="000000"/>
          <w:kern w:val="0"/>
          <w:sz w:val="24"/>
          <w:highlight w:val="none"/>
        </w:rPr>
        <w:t>本项目需求中标注★号的部分为实质性要求和条件（由采购人根据实际情况设置），投标人必须作出满足或者优于原要求和条件的响应，否则投标无效。</w:t>
      </w:r>
    </w:p>
    <w:p w14:paraId="5EB21862">
      <w:pPr>
        <w:spacing w:line="360" w:lineRule="auto"/>
        <w:ind w:firstLine="482" w:firstLineChars="200"/>
        <w:rPr>
          <w:rFonts w:ascii="Times New Roman" w:hAnsi="Times New Roman" w:eastAsia="宋体" w:cs="Times New Roman"/>
          <w:b/>
          <w:bCs/>
          <w:kern w:val="0"/>
          <w:sz w:val="24"/>
          <w:szCs w:val="21"/>
          <w:highlight w:val="none"/>
        </w:rPr>
      </w:pPr>
      <w:bookmarkStart w:id="140" w:name="_Toc120614281"/>
      <w:r>
        <w:rPr>
          <w:rFonts w:ascii="Times New Roman" w:hAnsi="Times New Roman" w:eastAsia="宋体" w:cs="Times New Roman"/>
          <w:b/>
          <w:bCs/>
          <w:kern w:val="0"/>
          <w:sz w:val="24"/>
          <w:szCs w:val="21"/>
          <w:highlight w:val="none"/>
        </w:rPr>
        <w:t>一、项目背景</w:t>
      </w:r>
    </w:p>
    <w:p w14:paraId="715E56CB">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为持续改善区域环境质量，江苏省以及连云港市根据生态环境部《空气质量持续改善行动计划》（国发〔2023〕 24号），陆续印发《江苏省空气质量持续改善行动计划实施方案》（苏政发〔2024〕 53号）、《连云港市空气质量持续改善行动计划实施方案》（连政发〔2024〕 67号）。因此，为进一步提升园区VOCs综合治理水平，压降园区VOCs监测浓度，拟开展灌云县临港产业区化工园区VOCs综合治理能力提升服务项目，为园区环境治理提供技术支撑。</w:t>
      </w:r>
    </w:p>
    <w:p w14:paraId="4B3498DD">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二、　服务内容</w:t>
      </w:r>
    </w:p>
    <w:p w14:paraId="3BD93E83">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（一）VOCs指纹化管理服务</w:t>
      </w:r>
    </w:p>
    <w:p w14:paraId="183FF478">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VOCs（挥发性有机物）作为园区大气污染的关键诱因，其排放具有组分复杂、来源分散、波动较大等特点，精准管控难度较高。因此构建 VOCs 指纹化管理服务体系，通过 “一企一策” 动态管理与排放指纹库建设的深度融合，实现对园区 VOCs 排放的全链条、精细化管控。</w:t>
      </w:r>
    </w:p>
    <w:p w14:paraId="68926101">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1．“一企一策”动态更新</w:t>
      </w:r>
    </w:p>
    <w:p w14:paraId="52A05328">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组织开展园区内涉 VOCs 排放企业“一企一策”动态更新工作。</w:t>
      </w:r>
    </w:p>
    <w:p w14:paraId="6BA2FFAB">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一企一策”进行动态更新工作需包括对涉VOCs和异味排放企业基本情况、生产工艺流程、原辅材料用量、密封点的维护保养情况、VOCs产生源分析、VOCs控制现状、VOCs排放现状以及已（拟）实施的VOCs综合治理方案开展综合分析。通过综合评估，识别企业VOCs管控中存在的薄弱环节和突出问题，提出具有针对性的改进意见与优化建议，最终形成科学、完善的“一企一策”综合治理方案。</w:t>
      </w:r>
    </w:p>
    <w:p w14:paraId="673730AA">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2．“一企一策”整改后评估</w:t>
      </w:r>
    </w:p>
    <w:p w14:paraId="4B52D92D">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组织开展园区企业“一企一策”整改后评估工作。重点围绕企业整改措施的执行情况、实施质量、治理成效及持续稳定性等方面开展多维度复核与评估，确保各项治理任务按计划推进。及时督促相关企业加快完成问题整改，确保问题切实得到解决，并定期将整改进展与评估结果报送园区管理部门，确保在2026年完成一轮“一企一策”整改后评估。</w:t>
      </w:r>
    </w:p>
    <w:p w14:paraId="44627102">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3．VOCs排放指纹库</w:t>
      </w:r>
    </w:p>
    <w:p w14:paraId="0F963584">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联动“一企一策”动态更新工作，组织开展园区企业废气排放源全面摸排，逐一掌握各企业废气中 VOCs 的组分、浓度、排放量等关键信息，建立园区企业污染物排放清单。在此基础上，建立企业全覆盖“指纹库”，实现对企业污染源的精准识别和动态管理，形成园区特征污染物以及有毒有害气体清单，为后续VOCs高值区域精准溯源采取针对性防控措施、减排评估和应急决策提供坚实的数据支撑。建设完成后，出具 VOCs 排放指纹库建设报告。</w:t>
      </w:r>
    </w:p>
    <w:p w14:paraId="108FCFFD">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（二）VOCs高值保障服务</w:t>
      </w:r>
    </w:p>
    <w:p w14:paraId="782AD7E0">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派遣两名专业环保人员赴园区现场开展 VOCs 高值保障服务，确保污染精准管控。</w:t>
      </w:r>
    </w:p>
    <w:p w14:paraId="1EA8AAB5">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1．平台数据盯控</w:t>
      </w:r>
    </w:p>
    <w:p w14:paraId="47A99ED2">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依托园区大气自动监测网络和气象参数，组织开展7*24小时对省控VOCs站点数据进行监控工作，实时紧盯平台数据变化趋势，结合风速、风向、温度、湿度等气象要素，综合分析各类数据变化情况，快速识别判断数据异常情况。每天出具VOCs站点数据情况报告，</w:t>
      </w:r>
      <w:r>
        <w:rPr>
          <w:rFonts w:ascii="Segoe UI" w:hAnsi="Segoe UI" w:eastAsia="Segoe UI" w:cs="Segoe UI"/>
          <w:color w:val="0F1115"/>
          <w:sz w:val="24"/>
          <w:highlight w:val="none"/>
          <w:shd w:val="clear" w:color="auto" w:fill="FFFFFF"/>
        </w:rPr>
        <w:t>内容</w:t>
      </w:r>
      <w:r>
        <w:rPr>
          <w:rFonts w:hint="eastAsia" w:ascii="Segoe UI" w:hAnsi="Segoe UI" w:eastAsia="宋体" w:cs="Segoe UI"/>
          <w:color w:val="0F1115"/>
          <w:sz w:val="24"/>
          <w:highlight w:val="none"/>
          <w:shd w:val="clear" w:color="auto" w:fill="FFFFFF"/>
        </w:rPr>
        <w:t>可</w:t>
      </w:r>
      <w:r>
        <w:rPr>
          <w:rFonts w:ascii="Segoe UI" w:hAnsi="Segoe UI" w:eastAsia="Segoe UI" w:cs="Segoe UI"/>
          <w:color w:val="0F1115"/>
          <w:sz w:val="24"/>
          <w:highlight w:val="none"/>
          <w:shd w:val="clear" w:color="auto" w:fill="FFFFFF"/>
        </w:rPr>
        <w:t>包括数据统计、趋势分析</w:t>
      </w:r>
      <w:r>
        <w:rPr>
          <w:rFonts w:hint="eastAsia" w:ascii="Segoe UI" w:hAnsi="Segoe UI" w:eastAsia="宋体" w:cs="Segoe UI"/>
          <w:color w:val="0F1115"/>
          <w:sz w:val="24"/>
          <w:highlight w:val="none"/>
          <w:shd w:val="clear" w:color="auto" w:fill="FFFFFF"/>
        </w:rPr>
        <w:t>等内容</w:t>
      </w:r>
      <w:r>
        <w:rPr>
          <w:rFonts w:ascii="Segoe UI" w:hAnsi="Segoe UI" w:eastAsia="Segoe UI" w:cs="Segoe UI"/>
          <w:color w:val="0F1115"/>
          <w:sz w:val="24"/>
          <w:highlight w:val="none"/>
          <w:shd w:val="clear" w:color="auto" w:fill="FFFFFF"/>
        </w:rPr>
        <w:t>，并报送园区管理方</w:t>
      </w:r>
      <w:r>
        <w:rPr>
          <w:rFonts w:hint="eastAsia" w:ascii="Segoe UI" w:hAnsi="Segoe UI" w:eastAsia="宋体" w:cs="Segoe UI"/>
          <w:color w:val="0F1115"/>
          <w:sz w:val="24"/>
          <w:highlight w:val="none"/>
          <w:shd w:val="clear" w:color="auto" w:fill="FFFFFF"/>
        </w:rPr>
        <w:t>。</w:t>
      </w:r>
    </w:p>
    <w:p w14:paraId="513EB98D">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2．溯源分析处置</w:t>
      </w:r>
    </w:p>
    <w:p w14:paraId="6E613933">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组织开展省控 VOCs 站点及限值限量 VOCs 站点的数据监控分析与管控工作。</w:t>
      </w:r>
    </w:p>
    <w:p w14:paraId="22DC57B5">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建立异常数据快速响应机制，一旦发现数据超标或异常波动，立即组织专业技术团队开展溯源解析，结合企业排放特征、历史数据和实时气象条件，明确污染来源、扩散路径和影响范围，并进行溯源调度工作，明确问题根源及处置方向，确保异常问题得到及时响应，并形成溯源分析报告。</w:t>
      </w:r>
    </w:p>
    <w:p w14:paraId="7A1D9018">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3．日报/周报编制</w:t>
      </w:r>
    </w:p>
    <w:p w14:paraId="5B2DE4A6">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每日统计和发布VOCs站点数据情况、涉VOCs整治工作进展、巡查中发现的问题及整改进展，以及下一阶段的工作安排。</w:t>
      </w:r>
      <w:r>
        <w:rPr>
          <w:rFonts w:ascii="Segoe UI" w:hAnsi="Segoe UI" w:eastAsia="Segoe UI" w:cs="Segoe UI"/>
          <w:color w:val="0F1115"/>
          <w:sz w:val="24"/>
          <w:highlight w:val="none"/>
          <w:shd w:val="clear" w:color="auto" w:fill="FFFFFF"/>
        </w:rPr>
        <w:t>每周对上述内容进行系统整合与总结，形成VOCs管控周报，报送园区管理部门</w:t>
      </w:r>
      <w:r>
        <w:rPr>
          <w:rFonts w:hint="eastAsia" w:ascii="宋体" w:hAnsi="宋体" w:eastAsia="宋体" w:cs="宋体"/>
          <w:color w:val="000000"/>
          <w:sz w:val="24"/>
          <w:highlight w:val="none"/>
        </w:rPr>
        <w:t>。</w:t>
      </w:r>
    </w:p>
    <w:p w14:paraId="0AA99EEE">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4．现场溯源</w:t>
      </w:r>
    </w:p>
    <w:p w14:paraId="2842D625">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根据站点数据情况及溯源分析结果，启动现场溯源及巡查工作，全面落实精准溯源，精准治污，利用技术手段结合风向等数据掌握区域污染扩散方向，判定疑似污染源地，形成问题清单。</w:t>
      </w:r>
    </w:p>
    <w:p w14:paraId="271E206F">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5．应急管理响应</w:t>
      </w:r>
    </w:p>
    <w:p w14:paraId="49CF17BE">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根据省控VOCs站点监测数据及园区污染特征，协助园区制定科学合理的VOCs污染分级预警标准（如轻度、中度、重度预警），并配套设计不同预警级别下的应急响应流程与管控措施，明确责任主体、行动内容和时限要求，形成体系完备、可操作性强的园区VOCs污染应急管控预案，组织必要的培训。</w:t>
      </w:r>
    </w:p>
    <w:p w14:paraId="28CEB090">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6．管理支撑服务</w:t>
      </w:r>
    </w:p>
    <w:p w14:paraId="1C58444E">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准入分析：根据拟入园企业提供的材料，结合园区关于准入项目的环保管理要求，协助园区分析判断企业入园的可执行性。</w:t>
      </w:r>
    </w:p>
    <w:p w14:paraId="01411C76">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组织培训：根据排查诊断中发现的问题，组织法规政策、标准、案例、污染防治技术等内容的培训。</w:t>
      </w:r>
    </w:p>
    <w:p w14:paraId="39ED9038">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资金申报辅导：协助园区开展各类财政资金申报工作，编制建设方案、项目建议书、可研等报告等。</w:t>
      </w:r>
    </w:p>
    <w:p w14:paraId="69C27468">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7．走航监测</w:t>
      </w:r>
    </w:p>
    <w:p w14:paraId="63F8AAB2">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为精准掌握园区及镇上重点区域、重点企业的 VOCs 等排放动态，服务期内可根据实际需要，在重点时段组织开展走航监测工作。走航监测范围聚焦园区核心生产区、重点企业周边、居民集聚区等敏感区域，以及涉</w:t>
      </w:r>
      <w:r>
        <w:rPr>
          <w:rFonts w:ascii="宋体" w:hAnsi="宋体" w:eastAsia="宋体" w:cs="宋体"/>
          <w:color w:val="000000"/>
          <w:sz w:val="24"/>
          <w:highlight w:val="none"/>
        </w:rPr>
        <w:t xml:space="preserve"> VOCs </w:t>
      </w:r>
      <w:r>
        <w:rPr>
          <w:rFonts w:hint="eastAsia" w:ascii="宋体" w:hAnsi="宋体" w:eastAsia="宋体" w:cs="宋体"/>
          <w:color w:val="000000"/>
          <w:sz w:val="24"/>
          <w:highlight w:val="none"/>
        </w:rPr>
        <w:t>排放量大的化工等重点企业，实现对目标区域的快速扫描与污染分布识别。走航监测完成后，编制走航监测分析报告，为环境管理提供数据参考。</w:t>
      </w:r>
    </w:p>
    <w:p w14:paraId="55B9649A">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（三）非甲烷总烃监测服务</w:t>
      </w:r>
    </w:p>
    <w:p w14:paraId="44553E0A">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按照《大气污染物无组织排放监测技术导则》（HJ/T55-2000）要求，结合园区已有VOCs监管设施（含限值限量和厂界FID建设）建设情况、园区精细化溯源监管需求以及行业和排放量等因素，在公共区域布设约8套FID监测点。</w:t>
      </w:r>
    </w:p>
    <w:p w14:paraId="1539D429">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1．基本要求</w:t>
      </w:r>
    </w:p>
    <w:p w14:paraId="668CEA28">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1.1监测项目：非甲烷总烃、温度、湿度、气压、风向、风速；</w:t>
      </w:r>
    </w:p>
    <w:p w14:paraId="46FFE263">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1.2技术原理：GC-FID；</w:t>
      </w:r>
    </w:p>
    <w:p w14:paraId="619CD258">
      <w:pPr>
        <w:spacing w:line="400" w:lineRule="exact"/>
        <w:ind w:firstLine="482" w:firstLineChars="200"/>
        <w:rPr>
          <w:rFonts w:ascii="宋体" w:hAnsi="宋体" w:eastAsia="宋体" w:cs="宋体"/>
          <w:b/>
          <w:bCs/>
          <w:color w:val="000000"/>
          <w:sz w:val="24"/>
          <w:highlight w:val="none"/>
        </w:rPr>
      </w:pPr>
      <w:r>
        <w:rPr>
          <w:rFonts w:hint="eastAsia" w:ascii="宋体" w:hAnsi="宋体" w:eastAsia="宋体" w:cs="Times New Roman"/>
          <w:b/>
          <w:bCs/>
          <w:color w:val="000000"/>
          <w:kern w:val="0"/>
          <w:sz w:val="24"/>
          <w:highlight w:val="none"/>
        </w:rPr>
        <w:t>★</w:t>
      </w:r>
      <w:r>
        <w:rPr>
          <w:rFonts w:hint="eastAsia" w:ascii="宋体" w:hAnsi="宋体" w:eastAsia="宋体" w:cs="宋体"/>
          <w:color w:val="000000"/>
          <w:sz w:val="24"/>
          <w:highlight w:val="none"/>
        </w:rPr>
        <w:t>1.3分析方法：仪器的分析方法采用直接法，即将非甲烷总烃从总烃中分离，直接测定非甲烷总烃的浓度；</w:t>
      </w:r>
    </w:p>
    <w:p w14:paraId="583E66C3">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1.4定量方式：非甲烷总烃采用低温富集热脱附技术</w:t>
      </w:r>
    </w:p>
    <w:p w14:paraId="6CF93D26">
      <w:pPr>
        <w:spacing w:line="400" w:lineRule="exact"/>
        <w:ind w:firstLine="482" w:firstLineChars="200"/>
        <w:rPr>
          <w:rFonts w:ascii="宋体" w:hAnsi="宋体" w:eastAsia="宋体" w:cs="宋体"/>
          <w:b/>
          <w:bCs/>
          <w:color w:val="000000"/>
          <w:sz w:val="24"/>
          <w:highlight w:val="none"/>
        </w:rPr>
      </w:pPr>
      <w:r>
        <w:rPr>
          <w:rFonts w:hint="eastAsia" w:ascii="宋体" w:hAnsi="宋体" w:eastAsia="宋体" w:cs="Times New Roman"/>
          <w:b/>
          <w:bCs/>
          <w:color w:val="000000"/>
          <w:kern w:val="0"/>
          <w:sz w:val="24"/>
          <w:highlight w:val="none"/>
        </w:rPr>
        <w:t>★</w:t>
      </w:r>
      <w:r>
        <w:rPr>
          <w:rFonts w:hint="eastAsia" w:ascii="宋体" w:hAnsi="宋体" w:eastAsia="宋体" w:cs="宋体"/>
          <w:color w:val="000000"/>
          <w:sz w:val="24"/>
          <w:highlight w:val="none"/>
        </w:rPr>
        <w:t>1.5整套系统包含供电电源管理单元、在线气相色谱分析仪、零气发生器模块、氢气发生器模块、温控系统等；</w:t>
      </w:r>
    </w:p>
    <w:p w14:paraId="30ABD3BD">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1.6分析仪内置温控系统，可保证在室外温度为-30℃-50℃下正常工作。</w:t>
      </w:r>
    </w:p>
    <w:p w14:paraId="4AE6DA18">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1.7为保证有效数据的传输率，仪器需具备断电复位功能，停电复位后，分析仪能自动回复原来的工作状态；</w:t>
      </w:r>
    </w:p>
    <w:p w14:paraId="15499BCB">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1.8系统内置氢气发生模块，氢气压力≥0.4MPa，为系统提供载气和燃烧气；</w:t>
      </w:r>
    </w:p>
    <w:p w14:paraId="43EA82C1">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1.9系统内置零气发生模块，为系统持续提供助燃气体；</w:t>
      </w:r>
    </w:p>
    <w:p w14:paraId="16A6EEF2">
      <w:pPr>
        <w:spacing w:line="400" w:lineRule="exact"/>
        <w:ind w:firstLine="482" w:firstLineChars="200"/>
        <w:rPr>
          <w:rFonts w:ascii="宋体" w:hAnsi="宋体" w:eastAsia="宋体" w:cs="宋体"/>
          <w:color w:val="000000"/>
          <w:sz w:val="24"/>
          <w:highlight w:val="none"/>
        </w:rPr>
      </w:pPr>
      <w:r>
        <w:rPr>
          <w:rFonts w:hint="eastAsia" w:ascii="宋体" w:hAnsi="宋体" w:eastAsia="宋体" w:cs="Times New Roman"/>
          <w:b/>
          <w:bCs/>
          <w:color w:val="000000"/>
          <w:kern w:val="0"/>
          <w:sz w:val="24"/>
          <w:highlight w:val="none"/>
        </w:rPr>
        <w:t>★</w:t>
      </w:r>
      <w:r>
        <w:rPr>
          <w:rFonts w:hint="eastAsia" w:ascii="宋体" w:hAnsi="宋体" w:eastAsia="宋体" w:cs="宋体"/>
          <w:color w:val="000000"/>
          <w:sz w:val="24"/>
          <w:highlight w:val="none"/>
        </w:rPr>
        <w:t>1.10产品需通过中国环境保护产品认证</w:t>
      </w:r>
    </w:p>
    <w:p w14:paraId="1D2982AC">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2．技术要求</w:t>
      </w:r>
    </w:p>
    <w:p w14:paraId="5C86C245">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2.1分析周期：≤8min； </w:t>
      </w:r>
    </w:p>
    <w:p w14:paraId="38D7BD57">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2.2量程：≥5 μmol/mol；</w:t>
      </w:r>
    </w:p>
    <w:p w14:paraId="47877824">
      <w:pPr>
        <w:spacing w:line="400" w:lineRule="exact"/>
        <w:ind w:firstLine="482" w:firstLineChars="200"/>
        <w:rPr>
          <w:rFonts w:ascii="宋体" w:hAnsi="宋体" w:eastAsia="宋体" w:cs="宋体"/>
          <w:b/>
          <w:bCs/>
          <w:color w:val="000000"/>
          <w:sz w:val="24"/>
          <w:highlight w:val="none"/>
        </w:rPr>
      </w:pPr>
      <w:r>
        <w:rPr>
          <w:rFonts w:hint="eastAsia" w:ascii="宋体" w:hAnsi="宋体" w:eastAsia="宋体" w:cs="Times New Roman"/>
          <w:b/>
          <w:bCs/>
          <w:color w:val="000000"/>
          <w:kern w:val="0"/>
          <w:sz w:val="24"/>
          <w:highlight w:val="none"/>
        </w:rPr>
        <w:t>★</w:t>
      </w:r>
      <w:r>
        <w:rPr>
          <w:rFonts w:hint="eastAsia" w:ascii="宋体" w:hAnsi="宋体" w:eastAsia="宋体" w:cs="宋体"/>
          <w:color w:val="000000"/>
          <w:sz w:val="24"/>
          <w:highlight w:val="none"/>
        </w:rPr>
        <w:t>2.3检出限：≤0.02μmol/mol</w:t>
      </w:r>
    </w:p>
    <w:p w14:paraId="3318C622">
      <w:pPr>
        <w:spacing w:line="400" w:lineRule="exact"/>
        <w:ind w:firstLine="482" w:firstLineChars="200"/>
        <w:rPr>
          <w:rFonts w:ascii="宋体" w:hAnsi="宋体" w:eastAsia="宋体" w:cs="宋体"/>
          <w:color w:val="000000"/>
          <w:sz w:val="24"/>
          <w:highlight w:val="none"/>
        </w:rPr>
      </w:pPr>
      <w:r>
        <w:rPr>
          <w:rFonts w:hint="eastAsia" w:ascii="宋体" w:hAnsi="宋体" w:eastAsia="宋体" w:cs="Times New Roman"/>
          <w:b/>
          <w:bCs/>
          <w:color w:val="000000"/>
          <w:kern w:val="0"/>
          <w:sz w:val="24"/>
          <w:highlight w:val="none"/>
        </w:rPr>
        <w:t>★</w:t>
      </w:r>
      <w:r>
        <w:rPr>
          <w:rFonts w:hint="eastAsia" w:ascii="宋体" w:hAnsi="宋体" w:eastAsia="宋体" w:cs="宋体"/>
          <w:color w:val="000000"/>
          <w:sz w:val="24"/>
          <w:highlight w:val="none"/>
        </w:rPr>
        <w:t xml:space="preserve">2.4重复性：≤2%； </w:t>
      </w:r>
    </w:p>
    <w:p w14:paraId="5875E403">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2.5线性误差：≤±10%；</w:t>
      </w:r>
    </w:p>
    <w:p w14:paraId="3DB922E1">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2.6 24h 20%量程漂移：≤±2%</w:t>
      </w:r>
    </w:p>
    <w:p w14:paraId="027BD8C6">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2.7 24h 80%量程漂移：≤±2%</w:t>
      </w:r>
    </w:p>
    <w:p w14:paraId="6437DEE5">
      <w:pPr>
        <w:spacing w:line="400" w:lineRule="exact"/>
        <w:ind w:firstLine="480" w:firstLineChars="200"/>
        <w:rPr>
          <w:rFonts w:ascii="宋体" w:hAnsi="宋体" w:eastAsia="宋体" w:cs="宋体"/>
          <w:color w:val="000000"/>
          <w:sz w:val="24"/>
          <w:highlight w:val="none"/>
        </w:rPr>
      </w:pPr>
      <w:bookmarkStart w:id="141" w:name="_Toc101973287"/>
      <w:r>
        <w:rPr>
          <w:rFonts w:hint="eastAsia" w:ascii="宋体" w:hAnsi="宋体" w:eastAsia="宋体" w:cs="宋体"/>
          <w:color w:val="000000"/>
          <w:sz w:val="24"/>
          <w:highlight w:val="none"/>
        </w:rPr>
        <w:t>2.8温度</w:t>
      </w:r>
      <w:bookmarkEnd w:id="141"/>
    </w:p>
    <w:p w14:paraId="4E6EF586">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测量原理：二级管结电压</w:t>
      </w:r>
    </w:p>
    <w:p w14:paraId="11CDE99A">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测量范围：-40℃-﹢85℃</w:t>
      </w:r>
    </w:p>
    <w:p w14:paraId="23877D35">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测量精度：±0.3℃</w:t>
      </w:r>
    </w:p>
    <w:p w14:paraId="1FDB1FF1">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分辨率：0.1℃</w:t>
      </w:r>
    </w:p>
    <w:p w14:paraId="3465112E">
      <w:pPr>
        <w:spacing w:line="400" w:lineRule="exact"/>
        <w:ind w:firstLine="480" w:firstLineChars="200"/>
        <w:rPr>
          <w:rFonts w:ascii="宋体" w:hAnsi="宋体" w:eastAsia="宋体" w:cs="宋体"/>
          <w:color w:val="000000"/>
          <w:sz w:val="24"/>
          <w:highlight w:val="none"/>
        </w:rPr>
      </w:pPr>
      <w:bookmarkStart w:id="142" w:name="_Toc101973288"/>
      <w:r>
        <w:rPr>
          <w:rFonts w:hint="eastAsia" w:ascii="宋体" w:hAnsi="宋体" w:eastAsia="宋体" w:cs="宋体"/>
          <w:color w:val="000000"/>
          <w:sz w:val="24"/>
          <w:highlight w:val="none"/>
        </w:rPr>
        <w:t>2.9湿度</w:t>
      </w:r>
      <w:bookmarkEnd w:id="142"/>
    </w:p>
    <w:p w14:paraId="2450E722">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测量原理：电容式湿度传感器</w:t>
      </w:r>
    </w:p>
    <w:p w14:paraId="4EBFB986">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测量范围：0-100%RH</w:t>
      </w:r>
    </w:p>
    <w:p w14:paraId="2C3D3009">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测量精度：±2%RH</w:t>
      </w:r>
    </w:p>
    <w:p w14:paraId="42688164">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分辨率：0.10%RH</w:t>
      </w:r>
    </w:p>
    <w:p w14:paraId="3E38B50A">
      <w:pPr>
        <w:spacing w:line="400" w:lineRule="exact"/>
        <w:ind w:firstLine="480" w:firstLineChars="200"/>
        <w:rPr>
          <w:rFonts w:ascii="宋体" w:hAnsi="宋体" w:eastAsia="宋体" w:cs="宋体"/>
          <w:color w:val="000000"/>
          <w:sz w:val="24"/>
          <w:highlight w:val="none"/>
        </w:rPr>
      </w:pPr>
      <w:bookmarkStart w:id="143" w:name="_Toc101973289"/>
      <w:r>
        <w:rPr>
          <w:rFonts w:hint="eastAsia" w:ascii="宋体" w:hAnsi="宋体" w:eastAsia="宋体" w:cs="宋体"/>
          <w:color w:val="000000"/>
          <w:sz w:val="24"/>
          <w:highlight w:val="none"/>
        </w:rPr>
        <w:t>2.10气压</w:t>
      </w:r>
      <w:bookmarkEnd w:id="143"/>
    </w:p>
    <w:p w14:paraId="20862710">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测量原理：压阻传感器</w:t>
      </w:r>
    </w:p>
    <w:p w14:paraId="55954FE7">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测量范围：300-1200hpa，可定制量程</w:t>
      </w:r>
    </w:p>
    <w:p w14:paraId="5C272882">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测量精度：±0.3hpa</w:t>
      </w:r>
    </w:p>
    <w:p w14:paraId="6549EA07">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分辨率：0.1hpa</w:t>
      </w:r>
    </w:p>
    <w:p w14:paraId="5FA3F079">
      <w:pPr>
        <w:spacing w:line="400" w:lineRule="exact"/>
        <w:ind w:firstLine="480" w:firstLineChars="200"/>
        <w:rPr>
          <w:rFonts w:ascii="宋体" w:hAnsi="宋体" w:eastAsia="宋体" w:cs="宋体"/>
          <w:color w:val="000000"/>
          <w:sz w:val="24"/>
          <w:highlight w:val="none"/>
        </w:rPr>
      </w:pPr>
      <w:bookmarkStart w:id="144" w:name="_Toc101973290"/>
      <w:r>
        <w:rPr>
          <w:rFonts w:hint="eastAsia" w:ascii="宋体" w:hAnsi="宋体" w:eastAsia="宋体" w:cs="宋体"/>
          <w:color w:val="000000"/>
          <w:sz w:val="24"/>
          <w:highlight w:val="none"/>
        </w:rPr>
        <w:t>2.11风向</w:t>
      </w:r>
      <w:bookmarkEnd w:id="144"/>
    </w:p>
    <w:p w14:paraId="2F4D3B4F">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测量原理：超声波</w:t>
      </w:r>
    </w:p>
    <w:p w14:paraId="40E90803">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测量范围：0-360°</w:t>
      </w:r>
    </w:p>
    <w:p w14:paraId="46E52B6A">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测量精度：±3°</w:t>
      </w:r>
    </w:p>
    <w:p w14:paraId="60BF508E">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分辨率：0.1°</w:t>
      </w:r>
    </w:p>
    <w:p w14:paraId="268249A1">
      <w:pPr>
        <w:spacing w:line="400" w:lineRule="exact"/>
        <w:ind w:firstLine="480" w:firstLineChars="200"/>
        <w:rPr>
          <w:rFonts w:ascii="宋体" w:hAnsi="宋体" w:eastAsia="宋体" w:cs="宋体"/>
          <w:color w:val="000000"/>
          <w:sz w:val="24"/>
          <w:highlight w:val="none"/>
        </w:rPr>
      </w:pPr>
      <w:bookmarkStart w:id="145" w:name="_Toc101973291"/>
      <w:r>
        <w:rPr>
          <w:rFonts w:hint="eastAsia" w:ascii="宋体" w:hAnsi="宋体" w:eastAsia="宋体" w:cs="宋体"/>
          <w:color w:val="000000"/>
          <w:sz w:val="24"/>
          <w:highlight w:val="none"/>
        </w:rPr>
        <w:t>2.12风速</w:t>
      </w:r>
      <w:bookmarkEnd w:id="145"/>
    </w:p>
    <w:p w14:paraId="6F4F6A7F">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测量原理：</w:t>
      </w:r>
      <w:bookmarkStart w:id="146" w:name="_Hlk127812385"/>
      <w:r>
        <w:rPr>
          <w:rFonts w:hint="eastAsia" w:ascii="宋体" w:hAnsi="宋体" w:eastAsia="宋体" w:cs="宋体"/>
          <w:color w:val="000000"/>
          <w:sz w:val="24"/>
          <w:highlight w:val="none"/>
        </w:rPr>
        <w:t>超声波原理</w:t>
      </w:r>
      <w:bookmarkEnd w:id="146"/>
    </w:p>
    <w:p w14:paraId="54B56F24">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测量范围：0-60m/s</w:t>
      </w:r>
    </w:p>
    <w:p w14:paraId="4F758C39">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测量精度：±0.3m/s或读数的±3%，两者中取较大者</w:t>
      </w:r>
    </w:p>
    <w:p w14:paraId="6B913FDF">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分辨率：0.1m/s</w:t>
      </w:r>
    </w:p>
    <w:p w14:paraId="3E4C2DB2">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3．其它要求</w:t>
      </w:r>
    </w:p>
    <w:p w14:paraId="0B81DDDC">
      <w:pPr>
        <w:spacing w:line="400" w:lineRule="exact"/>
        <w:ind w:firstLine="482" w:firstLineChars="200"/>
        <w:rPr>
          <w:rFonts w:ascii="宋体" w:hAnsi="宋体" w:eastAsia="宋体" w:cs="宋体"/>
          <w:b/>
          <w:bCs/>
          <w:color w:val="000000"/>
          <w:sz w:val="24"/>
          <w:highlight w:val="none"/>
        </w:rPr>
      </w:pPr>
      <w:r>
        <w:rPr>
          <w:rFonts w:hint="eastAsia" w:ascii="宋体" w:hAnsi="宋体" w:eastAsia="宋体" w:cs="Times New Roman"/>
          <w:b/>
          <w:bCs/>
          <w:color w:val="000000"/>
          <w:kern w:val="0"/>
          <w:sz w:val="24"/>
          <w:highlight w:val="none"/>
        </w:rPr>
        <w:t>★</w:t>
      </w:r>
      <w:r>
        <w:rPr>
          <w:rFonts w:hint="eastAsia" w:ascii="宋体" w:hAnsi="宋体" w:eastAsia="宋体" w:cs="宋体"/>
          <w:color w:val="000000"/>
          <w:sz w:val="24"/>
          <w:highlight w:val="none"/>
        </w:rPr>
        <w:t>3.1整套系统尺寸不超过450mm×350mm×550m，安装方式为户外立杆式安装，安装简便，无需建设监测站房。</w:t>
      </w:r>
    </w:p>
    <w:p w14:paraId="1028EC62">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3.2设备采用220V市电供电，为满足网格化布点需求，整套系统重量不超过65kg；</w:t>
      </w:r>
    </w:p>
    <w:p w14:paraId="0D012C91">
      <w:pPr>
        <w:spacing w:line="400" w:lineRule="exact"/>
        <w:ind w:firstLine="482" w:firstLineChars="200"/>
        <w:rPr>
          <w:rFonts w:ascii="宋体" w:hAnsi="宋体" w:eastAsia="宋体" w:cs="宋体"/>
          <w:b/>
          <w:bCs/>
          <w:color w:val="000000"/>
          <w:sz w:val="24"/>
          <w:highlight w:val="none"/>
        </w:rPr>
      </w:pPr>
      <w:r>
        <w:rPr>
          <w:rFonts w:hint="eastAsia" w:ascii="宋体" w:hAnsi="宋体" w:eastAsia="宋体" w:cs="Times New Roman"/>
          <w:b/>
          <w:bCs/>
          <w:color w:val="000000"/>
          <w:kern w:val="0"/>
          <w:sz w:val="24"/>
          <w:highlight w:val="none"/>
        </w:rPr>
        <w:t>★</w:t>
      </w:r>
      <w:r>
        <w:rPr>
          <w:rFonts w:hint="eastAsia" w:ascii="宋体" w:hAnsi="宋体" w:eastAsia="宋体" w:cs="宋体"/>
          <w:color w:val="000000"/>
          <w:sz w:val="24"/>
          <w:highlight w:val="none"/>
        </w:rPr>
        <w:t>3.3为满足室外安装及使用要求，IP等级不低于IP65；</w:t>
      </w:r>
    </w:p>
    <w:p w14:paraId="01177CAA">
      <w:pPr>
        <w:spacing w:line="400" w:lineRule="exact"/>
        <w:ind w:firstLine="482" w:firstLineChars="200"/>
        <w:rPr>
          <w:rFonts w:ascii="宋体" w:hAnsi="宋体" w:eastAsia="宋体" w:cs="宋体"/>
          <w:b/>
          <w:bCs/>
          <w:color w:val="000000"/>
          <w:sz w:val="24"/>
          <w:highlight w:val="none"/>
        </w:rPr>
      </w:pPr>
      <w:r>
        <w:rPr>
          <w:rFonts w:hint="eastAsia" w:ascii="宋体" w:hAnsi="宋体" w:eastAsia="宋体" w:cs="Times New Roman"/>
          <w:b/>
          <w:bCs/>
          <w:color w:val="000000"/>
          <w:kern w:val="0"/>
          <w:sz w:val="24"/>
          <w:highlight w:val="none"/>
        </w:rPr>
        <w:t>★</w:t>
      </w:r>
      <w:r>
        <w:rPr>
          <w:rFonts w:hint="eastAsia" w:ascii="宋体" w:hAnsi="宋体" w:eastAsia="宋体" w:cs="宋体"/>
          <w:color w:val="000000"/>
          <w:sz w:val="24"/>
          <w:highlight w:val="none"/>
        </w:rPr>
        <w:t>3.4富集管采用TEC低温制冷，制冷温度能达-5℃及以下；</w:t>
      </w:r>
    </w:p>
    <w:p w14:paraId="7D162BE5">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3.5分析仪可支持无线WIFI校准。</w:t>
      </w:r>
    </w:p>
    <w:p w14:paraId="569EDB7D">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（四）智慧管理大数据平台</w:t>
      </w:r>
    </w:p>
    <w:p w14:paraId="275733FC">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结合省级智慧化工园区建设标准，在园区现有智慧管理大数据平台基础上，进一步优化大气VOCs管理模块，将环境监测站点、污染源监测、走航等相关数据进行集成，建立园区小尺度风场，展示污染物浓度及排放热力图，基于专业溯源模型对高值进行溯源，支撑园区快速进行高值问题处置。</w:t>
      </w:r>
    </w:p>
    <w:p w14:paraId="577221C3">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1．数据接入</w:t>
      </w:r>
    </w:p>
    <w:p w14:paraId="5086202A">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(1)在线监测数据</w:t>
      </w:r>
    </w:p>
    <w:p w14:paraId="448CBB6E">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按采购方单位要求，接入限值限量气、VOCs和恶臭站监测数据，园区周边以及园区自建水、气监测站点数据，企业污染源监测等数据。</w:t>
      </w:r>
    </w:p>
    <w:p w14:paraId="65FF526F">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(2)园区小尺度风场气象数据</w:t>
      </w:r>
    </w:p>
    <w:p w14:paraId="0F0A669C">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精细化风场对于大气污染物传输与扩散模型的溯源分析至关重要。传统的基于全球气象数据集的风场解析通常提供的是大范围尺度的网格数据，整个园区的风场信息往往仅用一个单一数据点来表示，未能揭示园区内部不同地点间细微的风场变化，从而削弱了环境模拟与污染物溯源分析的精准度。</w:t>
      </w:r>
    </w:p>
    <w:p w14:paraId="1D0F32EF">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需要根据园区地形地貌特征等基础信息，依托园区自动站及微站等所测气象网格数据，基于多源数据综合利用的小尺度三维风场重构算法建立模拟网格，并对风场数据进行预处理和插值，形成初始场。通过与连续性方程相结合的诊断风场模型对初始场进行调整，确保最终风场结果符合流体运动基本规律。采用最近邻算法对监测数据进行筛选，排除异常值，以增强风场重构结果的稳定性和可靠性。最终生成园区小时级别小尺度风场，从而实现更准确和实时的性能，用于园区大气污染的溯源与模拟。</w:t>
      </w:r>
    </w:p>
    <w:p w14:paraId="6B21C081">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(3)园区“一园一档”管理数据</w:t>
      </w:r>
    </w:p>
    <w:p w14:paraId="08E31239">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①排污许可</w:t>
      </w:r>
    </w:p>
    <w:p w14:paraId="0A3EC3D7">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平台应支持集中管理园区企业排污许可证电子档案，展示许可编号、有效期、许可污染物及浓度、总量限值等核心信息。</w:t>
      </w:r>
    </w:p>
    <w:p w14:paraId="24EBCC40">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②污染源手工监测</w:t>
      </w:r>
    </w:p>
    <w:p w14:paraId="05076F1F">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平台应支持集成企业的污染源手工监测数据信息，能进行统计汇总，列示应执行的标准名称、标准编号和管控限值，具备趋势分析功能。</w:t>
      </w:r>
    </w:p>
    <w:p w14:paraId="093EB0C3">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③园区总量管理</w:t>
      </w:r>
    </w:p>
    <w:p w14:paraId="450FDAAB">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平台应具备园区有组织和无组织废气、废水污染物的实际排放总量和实际排放比例的展示与统计，并支持及时掌握园区各管控污染物的剩余排放总量情况。</w:t>
      </w:r>
    </w:p>
    <w:p w14:paraId="0C44A3F2">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④VOCs指纹化</w:t>
      </w:r>
    </w:p>
    <w:p w14:paraId="40523BE1">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平台应支持各企业废气中 VOCs 的组分、浓度、排放量等关键信息的直观展示和查询，按照企业、排放物种等进行显示和查询。</w:t>
      </w:r>
    </w:p>
    <w:p w14:paraId="2DCFECB9">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⑤特征污染物名录库</w:t>
      </w:r>
    </w:p>
    <w:p w14:paraId="1CB941B6">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平台对于特征污染物名录库应支持按要素进行管理。特征污染物种类主要包括废水特征污染物名录库、废气特征污染物名录库、土壤及地下水特征污染物名录库。筛选污染物主要特征包括排放量大、行业特征明显、高毒害性、难降解、异味、列入国家优先管控名录等其中一种或几种。</w:t>
      </w:r>
    </w:p>
    <w:p w14:paraId="0A1AA80E">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⑥有毒有害气体清单</w:t>
      </w:r>
    </w:p>
    <w:p w14:paraId="3BADD8C2">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平台应支持展示各企业有毒有害气体（如氯气、氨气）的清单信息，包括企业名称、气体种类、储存量等；并支持按照企业、排放物种等进行查询显示。</w:t>
      </w:r>
    </w:p>
    <w:p w14:paraId="176162BF">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⑦分级管控应急预案</w:t>
      </w:r>
    </w:p>
    <w:p w14:paraId="0E15EBD1">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平台应支持展示园区VOCs污染分级预警标准，并支持应急管控管理预案上传存档。</w:t>
      </w:r>
    </w:p>
    <w:p w14:paraId="7A046DC4">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2.数据展示和基础分析支撑</w:t>
      </w:r>
    </w:p>
    <w:p w14:paraId="16F3E4ED">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（1）园区环境质量“一图总览”</w:t>
      </w:r>
    </w:p>
    <w:p w14:paraId="25A22128">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基于GIS地图，通过集中、动态、直观的展示界面，展示园区企业分布情况、站点监测分布及数据情况、站点在线及离线情况、异常告警情况、园区PM</w:t>
      </w:r>
      <w:r>
        <w:rPr>
          <w:rFonts w:hint="eastAsia" w:ascii="宋体" w:hAnsi="宋体" w:eastAsia="宋体" w:cs="宋体"/>
          <w:color w:val="000000"/>
          <w:sz w:val="24"/>
          <w:highlight w:val="none"/>
          <w:vertAlign w:val="subscript"/>
        </w:rPr>
        <w:t>2.5</w:t>
      </w:r>
      <w:r>
        <w:rPr>
          <w:rFonts w:hint="eastAsia" w:ascii="宋体" w:hAnsi="宋体" w:eastAsia="宋体" w:cs="宋体"/>
          <w:color w:val="000000"/>
          <w:sz w:val="24"/>
          <w:highlight w:val="none"/>
        </w:rPr>
        <w:t>和VOCs大气污染物浓度在全省及全市工业园区中的逆序排名情况等信息，用于支撑园区环境质量的管理和管控工作开展。</w:t>
      </w:r>
    </w:p>
    <w:p w14:paraId="57DEB2D4">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（2）多元数据统计分析</w:t>
      </w:r>
    </w:p>
    <w:p w14:paraId="157F4ACE">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利用接入的园区空气、水质监测站点数据，将各类监测数据按照站点类型、监测因子进行管理展示，可提供任意时段数据查询、下载服务，可提供各类分析图表、统计报表生成及导出服务。</w:t>
      </w:r>
    </w:p>
    <w:p w14:paraId="4F6587DE">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（3）横向比对分析（省市排名）</w:t>
      </w:r>
    </w:p>
    <w:p w14:paraId="051A30FC">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利用接入的园区空气、水质监测站点数据，提供园区在全市、全省工业园区的VOCs及PM</w:t>
      </w:r>
      <w:r>
        <w:rPr>
          <w:rFonts w:hint="eastAsia" w:ascii="宋体" w:hAnsi="宋体" w:eastAsia="宋体" w:cs="宋体"/>
          <w:color w:val="000000"/>
          <w:sz w:val="24"/>
          <w:highlight w:val="none"/>
          <w:vertAlign w:val="subscript"/>
        </w:rPr>
        <w:t>2.5</w:t>
      </w:r>
      <w:r>
        <w:rPr>
          <w:rFonts w:hint="eastAsia" w:ascii="宋体" w:hAnsi="宋体" w:eastAsia="宋体" w:cs="宋体"/>
          <w:color w:val="000000"/>
          <w:sz w:val="24"/>
          <w:highlight w:val="none"/>
        </w:rPr>
        <w:t>环境质量排名动态更新服务，排名可实现日更新，可提供日、月、季度或年度各园区环境质量逆序排名情况自主查询服务，并提供逆序排名报表生成和导出服务。</w:t>
      </w:r>
    </w:p>
    <w:p w14:paraId="58D5E526">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（4）纵向比对分析（达标分析）</w:t>
      </w:r>
    </w:p>
    <w:p w14:paraId="20C4C616">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通过配置达标计算器实现园区环境质量达标情况自动计算，可核算园区PM</w:t>
      </w:r>
      <w:r>
        <w:rPr>
          <w:rFonts w:hint="eastAsia" w:ascii="宋体" w:hAnsi="宋体" w:eastAsia="宋体" w:cs="宋体"/>
          <w:color w:val="000000"/>
          <w:sz w:val="24"/>
          <w:highlight w:val="none"/>
          <w:vertAlign w:val="subscript"/>
        </w:rPr>
        <w:t>2.5</w:t>
      </w:r>
      <w:r>
        <w:rPr>
          <w:rFonts w:hint="eastAsia" w:ascii="宋体" w:hAnsi="宋体" w:eastAsia="宋体" w:cs="宋体"/>
          <w:color w:val="000000"/>
          <w:sz w:val="24"/>
          <w:highlight w:val="none"/>
        </w:rPr>
        <w:t>、二氧化硫、二氧化氮、臭氧、NMHC等大气污染指标的当前累计平均数值及剩余控制数值，可提供不同统计维度（日、月、年）的总量排放数据，帮助园区实时掌握园区不同时间维度的大气达标考核情况，支撑大气污染管控和防治工作的开展实施。</w:t>
      </w:r>
    </w:p>
    <w:p w14:paraId="37F00752">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（5） VOCs数据分析</w:t>
      </w:r>
    </w:p>
    <w:p w14:paraId="0E5599A7">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对接入的园区VOCs相关监测站点信息、历史和实时数据进行统计分析，利用分析图表、统计报表等方式进行VOCs环境质量分析。平台提供数据查询、分物种展示、分类别展示服务，协助园区了解各具体VOCs物种监测浓度。平台还提供监测数据相关性分析服务，动态分析关联物种，初步开展园区VOCs来源诊断，且实时提供前十组分分析服务，帮助园区管理者评估园区的VOCs管控效果，及时采取相应的管控措施。平台支持数据导出为excel、统计图保存为图片。</w:t>
      </w:r>
    </w:p>
    <w:p w14:paraId="04F44C60">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3．污染溯源管理</w:t>
      </w:r>
    </w:p>
    <w:p w14:paraId="2B22B4E6">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(1)污染物浓度及排放热力图</w:t>
      </w:r>
    </w:p>
    <w:p w14:paraId="6D82B3F8">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依托园区内环境监测获取的实测数值，支持用户按需切换不同监测因子（如颗粒物、挥发性有机物、特征污染物等）。通过克里金插值法对离散监测数据进行空间插值处理，将计算结果以热力图形式呈现，直观展示园区范围内各类污染物的浓度分布差异与空间变化特征。</w:t>
      </w:r>
    </w:p>
    <w:p w14:paraId="4A3F17D2">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以园区环境监测数值为基础，结合已掌握的部分污染源排放数据（如排放量、排放成分等），通过数据关联分析生成排放强度热力图，清晰、直观地反映园区内各区域污染源的排放强度分布情况 。</w:t>
      </w:r>
    </w:p>
    <w:p w14:paraId="7181AE53">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(2)监测高值预警和精细化溯源</w:t>
      </w:r>
    </w:p>
    <w:p w14:paraId="17099A98">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①监测高值预警</w:t>
      </w:r>
    </w:p>
    <w:p w14:paraId="667C772F">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1）水环境高值告警</w:t>
      </w:r>
    </w:p>
    <w:p w14:paraId="4FF5283B">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根据园区业务需求与环境状况，设置不同水环境质量因子浓度评价指标，实现水环境高值告警。支持自定义配置监测因子的指标参数监测范围，当因子浓度超出阈值时进行告警提醒。通过短信、系统界面等多种方式提醒管理人员，具备每次告警详细信息的查看与要素历史查询功能，包括告警触发时间、监测站点、具体因子等。</w:t>
      </w:r>
    </w:p>
    <w:p w14:paraId="0B153754">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2）大气环境高值告警</w:t>
      </w:r>
    </w:p>
    <w:p w14:paraId="47F84777">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根据园区实际业务需求与环境状况，设置不同空气质量因子浓度评价指标，特别是VOCs监测因子，实现园区大气环境高值告警，支持自定义配置监测因子的指标参数监测范围，当因子浓度超出阈值时进行告警提醒。通过短信、系统界面等多种方式提醒管理人员，具备每次告警详细信息的查看与要素历史查询功能，包括告警触发时间、监测站点、具体因子等。</w:t>
      </w:r>
    </w:p>
    <w:p w14:paraId="1ADA71AE">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3）废气、废水排放告警</w:t>
      </w:r>
    </w:p>
    <w:p w14:paraId="4947E4B2">
      <w:pPr>
        <w:spacing w:line="400" w:lineRule="exact"/>
        <w:ind w:firstLine="480" w:firstLineChars="200"/>
        <w:rPr>
          <w:highlight w:val="none"/>
        </w:rPr>
      </w:pPr>
      <w:r>
        <w:rPr>
          <w:rFonts w:hint="eastAsia" w:ascii="宋体" w:hAnsi="宋体" w:eastAsia="宋体" w:cs="宋体"/>
          <w:color w:val="000000"/>
          <w:sz w:val="24"/>
          <w:highlight w:val="none"/>
        </w:rPr>
        <w:t>统计分析园区企业末端监控的废水废气实时的监控数据，对日排放量变化趋势进行展示、统计企业今年以来监控排放量数据，并对园区联网企业年排放量数据进行从高到低排序，方便园区关注高排放量企业，并进行管控。并根据园区业务需求与环境状况，实现园区企业末端监控的废水废气的监测因子进行配置高值告警规则，包括指定阈值、设定告警级别，以及其他与告警相关的参数；当监测因子浓度超过设定阈值时，系统自动触发预警，通过短信、系统界面等多种方式提醒管理人员，具备每次告警详细信息的查看与要素历史查询功能，包括告警触发时间、监测站点、具体因子等。</w:t>
      </w:r>
    </w:p>
    <w:p w14:paraId="661D5B40">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②精细化溯源</w:t>
      </w:r>
    </w:p>
    <w:p w14:paraId="0F42973F">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整合在线监测数据、环境监测数据、企业源谱、VOCs指纹化相关数据，构建模拟网格，结合监测数据与企业源谱信息数据，运用拉格朗日扩散模型实现实时动态污染溯源。系统自动模拟区域污染传输扩散情况，对用户请求响应迅速，对园区任意点位的污染物来源进行实时的来源定位分析，并通过可视化模块直观显示污染源排放的贡献率及其对周围环境的影响范围。当园区出现污染告警或异味投诉时，可实时从该点位进行轨迹追踪，确定污染气团传输路径，获取责任排口或排污工序，辅助决策者进行有效的环境管理和污染治理。</w:t>
      </w:r>
    </w:p>
    <w:p w14:paraId="08B0FC12">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(3)源解析</w:t>
      </w:r>
    </w:p>
    <w:p w14:paraId="08C2EA27">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结合监测数据、企业源谱、VOCs指纹化相关信息数据，综合利用气象场信息等信息，基于PMF模型利用空气质量模型对污染贡献定量解析，确定主要管控企业，结合定量区域来源分析，分析污染天气的内外因。</w:t>
      </w:r>
    </w:p>
    <w:p w14:paraId="389D82B4">
      <w:pPr>
        <w:spacing w:line="400" w:lineRule="exact"/>
        <w:ind w:firstLine="480" w:firstLineChars="200"/>
        <w:rPr>
          <w:rFonts w:ascii="宋体" w:hAnsi="宋体" w:eastAsia="宋体" w:cs="宋体"/>
          <w:color w:val="000000"/>
          <w:sz w:val="24"/>
          <w:highlight w:val="none"/>
        </w:rPr>
      </w:pPr>
      <w:r>
        <w:rPr>
          <w:rFonts w:ascii="宋体" w:hAnsi="宋体" w:eastAsia="宋体" w:cs="宋体"/>
          <w:color w:val="000000"/>
          <w:sz w:val="24"/>
          <w:highlight w:val="none"/>
        </w:rPr>
        <w:t>(4)</w:t>
      </w:r>
      <w:r>
        <w:rPr>
          <w:rFonts w:hint="eastAsia" w:ascii="宋体" w:hAnsi="宋体" w:eastAsia="宋体" w:cs="宋体"/>
          <w:color w:val="000000"/>
          <w:sz w:val="24"/>
          <w:highlight w:val="none"/>
        </w:rPr>
        <w:t>走航管理</w:t>
      </w:r>
    </w:p>
    <w:p w14:paraId="0DAC1780">
      <w:pPr>
        <w:spacing w:line="400" w:lineRule="exact"/>
        <w:ind w:firstLine="480" w:firstLineChars="200"/>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支持走航数据查看，支持按照时间范围维度查询对应监测数据，展示走航</w:t>
      </w:r>
      <w:r>
        <w:rPr>
          <w:rFonts w:ascii="Times New Roman" w:hAnsi="Times New Roman" w:eastAsia="宋体" w:cs="Times New Roman"/>
          <w:color w:val="000000"/>
          <w:sz w:val="24"/>
          <w:highlight w:val="none"/>
        </w:rPr>
        <w:t>TVOC</w:t>
      </w:r>
      <w:r>
        <w:rPr>
          <w:rFonts w:hint="eastAsia" w:ascii="Times New Roman" w:hAnsi="Times New Roman" w:eastAsia="宋体" w:cs="Times New Roman"/>
          <w:color w:val="000000"/>
          <w:sz w:val="24"/>
          <w:highlight w:val="none"/>
        </w:rPr>
        <w:t>高值记录，支持数据导出为</w:t>
      </w:r>
      <w:r>
        <w:rPr>
          <w:rFonts w:ascii="Times New Roman" w:hAnsi="Times New Roman" w:eastAsia="宋体" w:cs="Times New Roman"/>
          <w:color w:val="000000"/>
          <w:sz w:val="24"/>
          <w:highlight w:val="none"/>
        </w:rPr>
        <w:t>excel</w:t>
      </w:r>
      <w:r>
        <w:rPr>
          <w:rFonts w:hint="eastAsia" w:ascii="Times New Roman" w:hAnsi="Times New Roman" w:eastAsia="宋体" w:cs="Times New Roman"/>
          <w:color w:val="000000"/>
          <w:sz w:val="24"/>
          <w:highlight w:val="none"/>
        </w:rPr>
        <w:t>文件。</w:t>
      </w:r>
    </w:p>
    <w:p w14:paraId="1E0E3064">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4．碳排放管理</w:t>
      </w:r>
    </w:p>
    <w:p w14:paraId="21632A39">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通过手动填报方式获取数据，并对数据进行管理。</w:t>
      </w:r>
    </w:p>
    <w:p w14:paraId="74578187">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为化工行业企业提供精准、灵活、零门槛的碳排放在线自动计算工具，可将不同系统源数据汇入碳排放监管模块，保证计算高效同时减少人工抄录或录入。</w:t>
      </w:r>
    </w:p>
    <w:p w14:paraId="5C111A6B">
      <w:pPr>
        <w:spacing w:line="400" w:lineRule="exact"/>
        <w:ind w:firstLine="480" w:firstLineChars="200"/>
        <w:rPr>
          <w:rFonts w:ascii="宋体" w:hAnsi="宋体" w:eastAsia="宋体" w:cs="宋体"/>
          <w:color w:val="000000"/>
          <w:sz w:val="24"/>
          <w:highlight w:val="none"/>
        </w:rPr>
      </w:pPr>
      <w:r>
        <w:rPr>
          <w:rFonts w:hint="eastAsia" w:ascii="宋体" w:hAnsi="宋体" w:eastAsia="宋体" w:cs="宋体"/>
          <w:color w:val="000000"/>
          <w:sz w:val="24"/>
          <w:highlight w:val="none"/>
        </w:rPr>
        <w:t>建设碳监测数据统计分析模块，对碳监测数据统计及分析，辅助管理部门了解各个阶段碳监测情况，观测数据变化，及时调整监测计划。</w:t>
      </w:r>
    </w:p>
    <w:p w14:paraId="172F56D0">
      <w:pPr>
        <w:widowControl/>
        <w:spacing w:line="520" w:lineRule="exact"/>
        <w:ind w:firstLine="482"/>
        <w:rPr>
          <w:rFonts w:ascii="宋体" w:hAnsi="宋体" w:eastAsia="宋体" w:cs="Times New Roman"/>
          <w:b/>
          <w:kern w:val="0"/>
          <w:szCs w:val="22"/>
          <w:highlight w:val="none"/>
        </w:rPr>
      </w:pPr>
      <w:r>
        <w:rPr>
          <w:rFonts w:hint="eastAsia" w:ascii="宋体" w:hAnsi="宋体" w:eastAsia="宋体" w:cs="Times New Roman"/>
          <w:b/>
          <w:kern w:val="0"/>
          <w:szCs w:val="22"/>
          <w:highlight w:val="none"/>
        </w:rPr>
        <w:t>★5.合同款项的支付方式及进度安排：</w:t>
      </w:r>
    </w:p>
    <w:p w14:paraId="0E22182C">
      <w:pPr>
        <w:spacing w:line="400" w:lineRule="exact"/>
        <w:ind w:firstLine="422" w:firstLineChars="200"/>
        <w:jc w:val="left"/>
        <w:rPr>
          <w:rFonts w:ascii="宋体" w:hAnsi="宋体" w:eastAsia="宋体" w:cs="Times New Roman"/>
          <w:b/>
          <w:bCs/>
          <w:color w:val="000000"/>
          <w:kern w:val="0"/>
          <w:szCs w:val="21"/>
          <w:highlight w:val="none"/>
        </w:rPr>
      </w:pPr>
      <w:r>
        <w:rPr>
          <w:rFonts w:hint="eastAsia" w:ascii="宋体" w:hAnsi="宋体" w:eastAsia="宋体" w:cs="Times New Roman"/>
          <w:b/>
          <w:bCs/>
          <w:color w:val="000000"/>
          <w:kern w:val="0"/>
          <w:szCs w:val="21"/>
          <w:highlight w:val="none"/>
        </w:rPr>
        <w:t>5.1付款方式：合同签订后30日内付合同总金额的</w:t>
      </w:r>
      <w:r>
        <w:rPr>
          <w:rFonts w:ascii="宋体" w:hAnsi="宋体" w:eastAsia="宋体" w:cs="Times New Roman"/>
          <w:b/>
          <w:bCs/>
          <w:color w:val="000000"/>
          <w:kern w:val="0"/>
          <w:szCs w:val="21"/>
          <w:highlight w:val="none"/>
        </w:rPr>
        <w:t>10</w:t>
      </w:r>
      <w:r>
        <w:rPr>
          <w:rFonts w:hint="eastAsia" w:ascii="宋体" w:hAnsi="宋体" w:eastAsia="宋体" w:cs="Times New Roman"/>
          <w:b/>
          <w:bCs/>
          <w:color w:val="000000"/>
          <w:kern w:val="0"/>
          <w:szCs w:val="21"/>
          <w:highlight w:val="none"/>
        </w:rPr>
        <w:t>%；VOCs排放“指纹库”、特征污染物名录库及相关信息化模块建成、中期验收合格后30日内付至合同总金额的40%；项目全部建成试运行、验收合格后30日内付至合同总金额的</w:t>
      </w:r>
      <w:r>
        <w:rPr>
          <w:rFonts w:ascii="宋体" w:hAnsi="宋体" w:eastAsia="宋体" w:cs="Times New Roman"/>
          <w:b/>
          <w:bCs/>
          <w:color w:val="000000"/>
          <w:kern w:val="0"/>
          <w:szCs w:val="21"/>
          <w:highlight w:val="none"/>
        </w:rPr>
        <w:t>90</w:t>
      </w:r>
      <w:r>
        <w:rPr>
          <w:rFonts w:hint="eastAsia" w:ascii="宋体" w:hAnsi="宋体" w:eastAsia="宋体" w:cs="Times New Roman"/>
          <w:b/>
          <w:bCs/>
          <w:color w:val="000000"/>
          <w:kern w:val="0"/>
          <w:szCs w:val="21"/>
          <w:highlight w:val="none"/>
        </w:rPr>
        <w:t>%；项目正式运行三个月后付至合同总金额的</w:t>
      </w:r>
      <w:r>
        <w:rPr>
          <w:rFonts w:hint="eastAsia" w:ascii="宋体" w:hAnsi="宋体" w:eastAsia="宋体" w:cs="Times New Roman"/>
          <w:b/>
          <w:bCs/>
          <w:color w:val="000000"/>
          <w:kern w:val="0"/>
          <w:szCs w:val="21"/>
          <w:highlight w:val="none"/>
          <w:lang w:val="en-US" w:eastAsia="zh-CN"/>
        </w:rPr>
        <w:t>100</w:t>
      </w:r>
      <w:r>
        <w:rPr>
          <w:rFonts w:hint="eastAsia" w:ascii="宋体" w:hAnsi="宋体" w:eastAsia="宋体" w:cs="Times New Roman"/>
          <w:b/>
          <w:bCs/>
          <w:color w:val="000000"/>
          <w:kern w:val="0"/>
          <w:szCs w:val="21"/>
          <w:highlight w:val="none"/>
        </w:rPr>
        <w:t>%。</w:t>
      </w:r>
    </w:p>
    <w:p w14:paraId="4D0602B6">
      <w:pPr>
        <w:spacing w:line="520" w:lineRule="exact"/>
        <w:ind w:firstLine="420"/>
        <w:rPr>
          <w:rFonts w:ascii="宋体" w:hAnsi="宋体" w:eastAsia="宋体" w:cs="Times New Roman"/>
          <w:color w:val="000000"/>
          <w:kern w:val="0"/>
          <w:szCs w:val="22"/>
          <w:highlight w:val="none"/>
        </w:rPr>
      </w:pPr>
      <w:r>
        <w:rPr>
          <w:rFonts w:ascii="宋体" w:hAnsi="宋体" w:eastAsia="宋体" w:cs="Times New Roman"/>
          <w:color w:val="000000"/>
          <w:kern w:val="0"/>
          <w:szCs w:val="22"/>
          <w:highlight w:val="none"/>
        </w:rPr>
        <w:t xml:space="preserve">付款前，乙方需向甲方开具正规发票，否则自行承担延迟付款的责任。 </w:t>
      </w:r>
    </w:p>
    <w:p w14:paraId="7AA2D8D4">
      <w:pPr>
        <w:spacing w:line="520" w:lineRule="exact"/>
        <w:ind w:firstLine="420"/>
        <w:rPr>
          <w:rFonts w:ascii="宋体" w:hAnsi="宋体" w:eastAsia="宋体" w:cs="Times New Roman"/>
          <w:color w:val="000000"/>
          <w:kern w:val="0"/>
          <w:szCs w:val="22"/>
          <w:highlight w:val="none"/>
        </w:rPr>
      </w:pPr>
      <w:r>
        <w:rPr>
          <w:rFonts w:ascii="宋体" w:hAnsi="宋体" w:eastAsia="宋体" w:cs="Times New Roman"/>
          <w:color w:val="000000"/>
          <w:kern w:val="0"/>
          <w:szCs w:val="22"/>
          <w:highlight w:val="none"/>
        </w:rPr>
        <w:t>当采购数量与实际使用数量不一致时，乙方根据实际使用量提供产品和服务，合同的最终结算金额按实际使用量乘以中标单价进行计算。</w:t>
      </w:r>
    </w:p>
    <w:p w14:paraId="54653F9D">
      <w:pPr>
        <w:widowControl/>
        <w:spacing w:line="520" w:lineRule="exact"/>
        <w:ind w:right="-4" w:firstLine="420"/>
        <w:jc w:val="left"/>
        <w:rPr>
          <w:rFonts w:ascii="宋体" w:hAnsi="宋体" w:eastAsia="宋体" w:cs="Times New Roman"/>
          <w:b/>
          <w:color w:val="000000"/>
          <w:kern w:val="0"/>
          <w:szCs w:val="22"/>
          <w:highlight w:val="none"/>
        </w:rPr>
      </w:pPr>
      <w:r>
        <w:rPr>
          <w:rFonts w:hint="eastAsia" w:ascii="Times New Roman" w:hAnsi="Times New Roman" w:eastAsia="宋体" w:cs="Times New Roman"/>
          <w:b/>
          <w:color w:val="000000"/>
          <w:kern w:val="0"/>
          <w:szCs w:val="22"/>
          <w:highlight w:val="none"/>
        </w:rPr>
        <w:t>5.2</w:t>
      </w:r>
      <w:r>
        <w:rPr>
          <w:rFonts w:hint="eastAsia" w:ascii="宋体" w:hAnsi="宋体" w:eastAsia="宋体" w:cs="Times New Roman"/>
          <w:b/>
          <w:color w:val="000000"/>
          <w:kern w:val="0"/>
          <w:szCs w:val="22"/>
          <w:highlight w:val="none"/>
        </w:rPr>
        <w:t>本项目收取履约保证金：</w:t>
      </w:r>
    </w:p>
    <w:p w14:paraId="4B465AF4">
      <w:pPr>
        <w:spacing w:line="520" w:lineRule="exact"/>
        <w:ind w:firstLine="420"/>
        <w:rPr>
          <w:rFonts w:ascii="宋体" w:hAnsi="宋体" w:eastAsia="宋体" w:cs="Times New Roman"/>
          <w:color w:val="000000"/>
          <w:kern w:val="0"/>
          <w:szCs w:val="22"/>
          <w:highlight w:val="none"/>
        </w:rPr>
      </w:pPr>
      <w:r>
        <w:rPr>
          <w:rFonts w:hint="eastAsia" w:ascii="宋体" w:hAnsi="宋体" w:eastAsia="宋体" w:cs="Times New Roman"/>
          <w:color w:val="000000"/>
          <w:kern w:val="0"/>
          <w:szCs w:val="22"/>
          <w:highlight w:val="none"/>
        </w:rPr>
        <w:t>5.2.1履约保证金的数额为合同金额10%。中标通知书签发后7日内向甲方提供履约保证金，否则视为自动放弃中标；中标人应当采用支票、汇票、本票或者金融机构、担保机构出具的保函、电子履约保函（保险）等非现金形式在合同签订前提交。关于投标人可登录江苏政府采购网“资料下载”栏目下载“政府采购电子履约保函（保险）操作手册”</w:t>
      </w:r>
    </w:p>
    <w:p w14:paraId="651C1236">
      <w:pPr>
        <w:spacing w:line="520" w:lineRule="exact"/>
        <w:ind w:firstLine="420"/>
        <w:rPr>
          <w:rFonts w:ascii="宋体" w:hAnsi="宋体" w:eastAsia="宋体" w:cs="Times New Roman"/>
          <w:color w:val="000000"/>
          <w:kern w:val="0"/>
          <w:szCs w:val="22"/>
          <w:highlight w:val="none"/>
        </w:rPr>
      </w:pPr>
      <w:r>
        <w:rPr>
          <w:rFonts w:hint="eastAsia" w:ascii="宋体" w:hAnsi="宋体" w:eastAsia="宋体" w:cs="Times New Roman"/>
          <w:color w:val="000000"/>
          <w:kern w:val="0"/>
          <w:szCs w:val="22"/>
          <w:highlight w:val="none"/>
        </w:rPr>
        <w:t>5.2.2中标人违约的，采购人将按照合同约定扣除其全部或部分履约保证金。如中标人违约给采购人造成的损失超过履约保证金的，应当依法赔偿超过部分的损失。</w:t>
      </w:r>
    </w:p>
    <w:p w14:paraId="00F39E14">
      <w:pPr>
        <w:spacing w:line="520" w:lineRule="exact"/>
        <w:ind w:firstLine="420"/>
        <w:rPr>
          <w:rFonts w:ascii="宋体" w:hAnsi="宋体" w:eastAsia="宋体" w:cs="Times New Roman"/>
          <w:color w:val="000000"/>
          <w:kern w:val="0"/>
          <w:szCs w:val="22"/>
          <w:highlight w:val="none"/>
        </w:rPr>
      </w:pPr>
      <w:r>
        <w:rPr>
          <w:rFonts w:hint="eastAsia" w:ascii="宋体" w:hAnsi="宋体" w:eastAsia="宋体" w:cs="Times New Roman"/>
          <w:color w:val="000000"/>
          <w:kern w:val="0"/>
          <w:szCs w:val="22"/>
          <w:highlight w:val="none"/>
        </w:rPr>
        <w:t>5.2.3履约保证金自合同生效之日起至合同约定的中标人主要义务履行完毕止，采购人应当按合同约定及时退还履约保证金。</w:t>
      </w:r>
    </w:p>
    <w:p w14:paraId="1D040D6E">
      <w:pPr>
        <w:spacing w:line="520" w:lineRule="exact"/>
        <w:ind w:firstLine="420"/>
        <w:rPr>
          <w:rFonts w:ascii="宋体" w:hAnsi="宋体" w:eastAsia="宋体" w:cs="Times New Roman"/>
          <w:color w:val="000000"/>
          <w:kern w:val="0"/>
          <w:szCs w:val="22"/>
          <w:highlight w:val="none"/>
        </w:rPr>
      </w:pPr>
      <w:r>
        <w:rPr>
          <w:rFonts w:hint="eastAsia" w:ascii="宋体" w:hAnsi="宋体" w:eastAsia="宋体" w:cs="Times New Roman"/>
          <w:color w:val="000000"/>
          <w:kern w:val="0"/>
          <w:szCs w:val="22"/>
          <w:highlight w:val="none"/>
        </w:rPr>
        <w:t>报价要求：投标报价为完成本项目的所有含税费用，包含但不限于人员费用、专用设备、安装辅材、运输、现场安装调试、培训、管理、维护、利润、税金、保险、检测、验收、前期一般性咨询、售后服务、政策性文件规定及合同包含的所有风险、责任等各项应有费用。(参与本次项目报价的投标人视为已充分了解安装现场的安装条件，并已将可能发生的全部费用包含在总体报价中。）招标人在合同价款之外不再向乙方支付其他任何费用。</w:t>
      </w:r>
    </w:p>
    <w:p w14:paraId="3F83F63A">
      <w:pPr>
        <w:spacing w:line="400" w:lineRule="exact"/>
        <w:rPr>
          <w:rFonts w:ascii="宋体" w:hAnsi="宋体" w:eastAsia="宋体" w:cs="宋体"/>
          <w:color w:val="000000"/>
          <w:sz w:val="24"/>
          <w:highlight w:val="none"/>
        </w:rPr>
      </w:pPr>
      <w:r>
        <w:rPr>
          <w:rFonts w:hint="eastAsia" w:ascii="宋体" w:hAnsi="宋体" w:eastAsia="宋体" w:cs="宋体"/>
          <w:color w:val="000000"/>
          <w:sz w:val="24"/>
          <w:highlight w:val="none"/>
        </w:rPr>
        <w:br w:type="page"/>
      </w:r>
    </w:p>
    <w:p w14:paraId="4489D611">
      <w:pPr>
        <w:rPr>
          <w:rFonts w:ascii="Times New Roman" w:hAnsi="Times New Roman" w:eastAsia="宋体" w:cs="Times New Roman"/>
          <w:kern w:val="0"/>
          <w:sz w:val="24"/>
          <w:highlight w:val="none"/>
        </w:rPr>
      </w:pPr>
    </w:p>
    <w:p w14:paraId="76E614CD">
      <w:pPr>
        <w:keepNext/>
        <w:jc w:val="center"/>
        <w:outlineLvl w:val="0"/>
        <w:rPr>
          <w:rFonts w:ascii="黑体" w:hAnsi="Times New Roman" w:eastAsia="黑体" w:cs="Times New Roman"/>
          <w:bCs/>
          <w:color w:val="000000"/>
          <w:sz w:val="44"/>
          <w:szCs w:val="28"/>
          <w:highlight w:val="none"/>
        </w:rPr>
      </w:pPr>
      <w:r>
        <w:rPr>
          <w:rFonts w:hint="eastAsia" w:ascii="黑体" w:hAnsi="Times New Roman" w:eastAsia="黑体" w:cs="Times New Roman"/>
          <w:bCs/>
          <w:color w:val="000000"/>
          <w:sz w:val="44"/>
          <w:szCs w:val="28"/>
          <w:highlight w:val="none"/>
        </w:rPr>
        <w:t xml:space="preserve">第五章  </w:t>
      </w:r>
      <w:r>
        <w:rPr>
          <w:rFonts w:hint="eastAsia" w:ascii="黑体" w:hAnsi="Times New Roman" w:eastAsia="黑体" w:cs="Times New Roman"/>
          <w:b/>
          <w:bCs/>
          <w:color w:val="000000"/>
          <w:sz w:val="44"/>
          <w:szCs w:val="28"/>
          <w:highlight w:val="none"/>
        </w:rPr>
        <w:t>评标方法与评标标准</w:t>
      </w:r>
    </w:p>
    <w:p w14:paraId="73B8F960">
      <w:pPr>
        <w:spacing w:before="120" w:after="120" w:line="360" w:lineRule="auto"/>
        <w:ind w:firstLine="439"/>
        <w:jc w:val="left"/>
        <w:rPr>
          <w:rFonts w:ascii="Arial" w:hAnsi="Arial" w:eastAsia="宋体" w:cs="Arial"/>
          <w:color w:val="000000"/>
          <w:sz w:val="24"/>
          <w:highlight w:val="none"/>
        </w:rPr>
      </w:pPr>
      <w:r>
        <w:rPr>
          <w:rFonts w:ascii="Arial" w:hAnsi="Arial" w:eastAsia="宋体" w:cs="Arial"/>
          <w:color w:val="000000"/>
          <w:sz w:val="24"/>
          <w:highlight w:val="none"/>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Arial" w:hAnsi="Arial" w:eastAsia="宋体" w:cs="Arial"/>
          <w:color w:val="000000"/>
          <w:sz w:val="24"/>
          <w:highlight w:val="none"/>
        </w:rPr>
        <w:t>。</w:t>
      </w:r>
    </w:p>
    <w:p w14:paraId="1A43D04A">
      <w:pPr>
        <w:spacing w:before="120" w:after="120" w:line="360" w:lineRule="auto"/>
        <w:ind w:firstLine="441"/>
        <w:jc w:val="left"/>
        <w:rPr>
          <w:rFonts w:ascii="宋体" w:hAnsi="宋体" w:eastAsia="宋体" w:cs="Times New Roman"/>
          <w:b/>
          <w:color w:val="000000"/>
          <w:sz w:val="24"/>
          <w:highlight w:val="none"/>
        </w:rPr>
      </w:pPr>
      <w:r>
        <w:rPr>
          <w:rFonts w:hint="eastAsia" w:ascii="宋体" w:hAnsi="宋体" w:eastAsia="宋体" w:cs="Times New Roman"/>
          <w:b/>
          <w:color w:val="000000"/>
          <w:sz w:val="24"/>
          <w:highlight w:val="none"/>
        </w:rPr>
        <w:t>一、政府采购政策功能落实</w:t>
      </w:r>
    </w:p>
    <w:p w14:paraId="369A5677">
      <w:pPr>
        <w:spacing w:line="360" w:lineRule="auto"/>
        <w:ind w:firstLine="480"/>
        <w:rPr>
          <w:rFonts w:ascii="宋体" w:hAnsi="宋体" w:eastAsia="宋体" w:cs="宋体"/>
          <w:color w:val="000000"/>
          <w:kern w:val="0"/>
          <w:sz w:val="24"/>
          <w:szCs w:val="21"/>
          <w:highlight w:val="none"/>
        </w:rPr>
      </w:pPr>
      <w:r>
        <w:rPr>
          <w:rFonts w:hint="eastAsia" w:ascii="宋体" w:hAnsi="宋体" w:eastAsia="宋体" w:cs="宋体"/>
          <w:color w:val="000000"/>
          <w:kern w:val="0"/>
          <w:sz w:val="24"/>
          <w:szCs w:val="21"/>
          <w:highlight w:val="none"/>
        </w:rPr>
        <w:t>（一）执行财政部、工业和信息化部关于印发《政府采购促进中小企业发展管理办法》的通知（财库〔2020〕46号）、苏财购[2022]45号，本项目专门面向中小企业采购，符合文件要求的投标人应提交《中小企业声明函》。</w:t>
      </w:r>
    </w:p>
    <w:p w14:paraId="59F3D3D1">
      <w:pPr>
        <w:spacing w:line="360" w:lineRule="auto"/>
        <w:ind w:firstLine="480"/>
        <w:rPr>
          <w:rFonts w:ascii="宋体" w:hAnsi="宋体" w:eastAsia="宋体" w:cs="宋体"/>
          <w:color w:val="000000"/>
          <w:kern w:val="0"/>
          <w:sz w:val="24"/>
          <w:szCs w:val="21"/>
          <w:highlight w:val="none"/>
        </w:rPr>
      </w:pPr>
      <w:r>
        <w:rPr>
          <w:rFonts w:hint="eastAsia" w:ascii="宋体" w:hAnsi="宋体" w:eastAsia="宋体" w:cs="宋体"/>
          <w:color w:val="000000"/>
          <w:kern w:val="0"/>
          <w:sz w:val="24"/>
          <w:szCs w:val="21"/>
          <w:highlight w:val="none"/>
        </w:rPr>
        <w:t>（二）投标人为残疾人福利性单位的，符合财库〔2017〕141号文件规定条件的残疾人福利性单位视同小型、微型企业，提供《残疾人福利性单位声明函》。</w:t>
      </w:r>
    </w:p>
    <w:p w14:paraId="7A11E8CA">
      <w:pPr>
        <w:spacing w:line="360" w:lineRule="auto"/>
        <w:ind w:firstLine="480"/>
        <w:rPr>
          <w:rFonts w:ascii="宋体" w:hAnsi="宋体" w:eastAsia="宋体" w:cs="宋体"/>
          <w:color w:val="000000"/>
          <w:kern w:val="0"/>
          <w:sz w:val="24"/>
          <w:szCs w:val="21"/>
          <w:highlight w:val="none"/>
        </w:rPr>
      </w:pPr>
      <w:r>
        <w:rPr>
          <w:rFonts w:hint="eastAsia" w:ascii="宋体" w:hAnsi="宋体" w:eastAsia="宋体" w:cs="宋体"/>
          <w:color w:val="000000"/>
          <w:kern w:val="0"/>
          <w:sz w:val="24"/>
          <w:szCs w:val="21"/>
          <w:highlight w:val="none"/>
        </w:rPr>
        <w:t>（三）投标人为监狱企业的，根据《财政部 司法部关于政府采购支持监狱企业发展有关问题的通知》（财库〔2014〕68号），监狱企业视同小微企业，享受政府采购支持政策。提供省级以上监狱管理局、戒毒管理局（含新疆生产建设兵团）出具的属于监狱企业的证明文件。</w:t>
      </w:r>
    </w:p>
    <w:p w14:paraId="1C1C94DB">
      <w:pPr>
        <w:spacing w:line="360" w:lineRule="auto"/>
        <w:ind w:firstLine="482"/>
        <w:rPr>
          <w:rFonts w:ascii="宋体" w:hAnsi="宋体" w:eastAsia="宋体" w:cs="Times New Roman"/>
          <w:b/>
          <w:color w:val="000000"/>
          <w:kern w:val="0"/>
          <w:sz w:val="24"/>
          <w:highlight w:val="none"/>
        </w:rPr>
      </w:pPr>
      <w:r>
        <w:rPr>
          <w:rFonts w:hint="eastAsia" w:ascii="宋体" w:hAnsi="宋体" w:eastAsia="宋体" w:cs="Times New Roman"/>
          <w:b/>
          <w:color w:val="000000"/>
          <w:kern w:val="0"/>
          <w:sz w:val="24"/>
          <w:highlight w:val="none"/>
        </w:rPr>
        <w:t>二、</w:t>
      </w:r>
      <w:r>
        <w:rPr>
          <w:rFonts w:hint="eastAsia" w:ascii="宋体" w:hAnsi="宋体" w:eastAsia="宋体" w:cs="Times New Roman"/>
          <w:b/>
          <w:bCs/>
          <w:color w:val="000000"/>
          <w:kern w:val="0"/>
          <w:sz w:val="24"/>
          <w:highlight w:val="none"/>
        </w:rPr>
        <w:t>评标委员会构成</w:t>
      </w:r>
      <w:r>
        <w:rPr>
          <w:rFonts w:hint="eastAsia" w:ascii="宋体" w:hAnsi="宋体" w:eastAsia="宋体" w:cs="Times New Roman"/>
          <w:b/>
          <w:color w:val="000000"/>
          <w:kern w:val="0"/>
          <w:sz w:val="24"/>
          <w:highlight w:val="none"/>
        </w:rPr>
        <w:t>：</w:t>
      </w:r>
    </w:p>
    <w:p w14:paraId="0F87589F">
      <w:pPr>
        <w:spacing w:line="360" w:lineRule="auto"/>
        <w:ind w:firstLine="480"/>
        <w:rPr>
          <w:rFonts w:ascii="宋体" w:hAnsi="宋体" w:eastAsia="宋体" w:cs="宋体"/>
          <w:color w:val="000000"/>
          <w:kern w:val="0"/>
          <w:sz w:val="24"/>
          <w:szCs w:val="21"/>
          <w:highlight w:val="none"/>
        </w:rPr>
      </w:pPr>
      <w:r>
        <w:rPr>
          <w:rFonts w:hint="eastAsia" w:ascii="宋体" w:hAnsi="宋体" w:eastAsia="宋体" w:cs="Times New Roman"/>
          <w:color w:val="000000"/>
          <w:kern w:val="0"/>
          <w:sz w:val="24"/>
          <w:highlight w:val="none"/>
        </w:rPr>
        <w:t>本采购项目评标委员会的评委由采购人代表和评审专家组成。</w:t>
      </w:r>
    </w:p>
    <w:p w14:paraId="565F950A">
      <w:pPr>
        <w:spacing w:before="120" w:after="120" w:line="0" w:lineRule="atLeast"/>
        <w:ind w:firstLine="482"/>
        <w:jc w:val="left"/>
        <w:rPr>
          <w:rFonts w:ascii="宋体" w:hAnsi="宋体" w:eastAsia="宋体" w:cs="Times New Roman"/>
          <w:b/>
          <w:color w:val="000000"/>
          <w:sz w:val="24"/>
          <w:highlight w:val="none"/>
        </w:rPr>
      </w:pPr>
      <w:r>
        <w:rPr>
          <w:rFonts w:hint="eastAsia" w:ascii="宋体" w:hAnsi="宋体" w:eastAsia="宋体" w:cs="Times New Roman"/>
          <w:b/>
          <w:color w:val="000000"/>
          <w:sz w:val="24"/>
          <w:highlight w:val="none"/>
        </w:rPr>
        <w:t>三、评标方法与评标标准</w:t>
      </w:r>
    </w:p>
    <w:p w14:paraId="2BE59333">
      <w:pPr>
        <w:spacing w:line="400" w:lineRule="exact"/>
        <w:ind w:firstLine="420"/>
        <w:rPr>
          <w:rFonts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（一）评标时，评标委员会以招标文件为评标依据，评标委员会各成员独立对每个投标人的投标文件进行评价，并汇总每个投标人的得分。</w:t>
      </w:r>
    </w:p>
    <w:p w14:paraId="214CDAF4">
      <w:pPr>
        <w:spacing w:line="400" w:lineRule="exact"/>
        <w:ind w:firstLine="480"/>
        <w:rPr>
          <w:rFonts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（二）本项目评分总分为100分，按四舍五入取至小数点后两位。</w:t>
      </w:r>
    </w:p>
    <w:p w14:paraId="1C788ACD">
      <w:pPr>
        <w:spacing w:line="400" w:lineRule="exact"/>
        <w:ind w:firstLine="480"/>
        <w:rPr>
          <w:rFonts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 xml:space="preserve">（三）总得分 =价格分 + 商务技术分 </w:t>
      </w:r>
    </w:p>
    <w:p w14:paraId="57718AE0">
      <w:pPr>
        <w:spacing w:line="400" w:lineRule="exact"/>
        <w:ind w:firstLine="480"/>
        <w:rPr>
          <w:rFonts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四）中标标准：评标结果按评审后得分由高到低顺序排列。得分相同的，按投标报价由低到高顺序排列。得分且投标报价相同的并列。投标文件满足采购文件全部实质性要求，且按照评审因素的量化指标评审得分最高的投标人为排名第一的中标候选人。</w:t>
      </w:r>
    </w:p>
    <w:tbl>
      <w:tblPr>
        <w:tblStyle w:val="9"/>
        <w:tblW w:w="4997"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70"/>
        <w:gridCol w:w="1756"/>
        <w:gridCol w:w="5658"/>
      </w:tblGrid>
      <w:tr w14:paraId="1E5B0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620" w:type="dxa"/>
            <w:gridSpan w:val="2"/>
            <w:noWrap/>
            <w:vAlign w:val="center"/>
          </w:tcPr>
          <w:p w14:paraId="39E99A41">
            <w:pPr>
              <w:widowControl/>
              <w:jc w:val="center"/>
              <w:rPr>
                <w:rFonts w:ascii="宋体" w:hAnsi="宋体" w:eastAsia="宋体" w:cs="宋体"/>
                <w:kern w:val="0"/>
                <w:sz w:val="24"/>
                <w:highlight w:val="none"/>
              </w:rPr>
            </w:pPr>
            <w:r>
              <w:rPr>
                <w:rFonts w:hint="eastAsia" w:ascii="宋体" w:hAnsi="宋体" w:eastAsia="宋体" w:cs="宋体"/>
                <w:kern w:val="0"/>
                <w:sz w:val="24"/>
                <w:highlight w:val="none"/>
              </w:rPr>
              <w:t>评分因素</w:t>
            </w:r>
          </w:p>
        </w:tc>
        <w:tc>
          <w:tcPr>
            <w:tcW w:w="5664" w:type="dxa"/>
            <w:noWrap/>
            <w:vAlign w:val="center"/>
          </w:tcPr>
          <w:p w14:paraId="51CF7226">
            <w:pPr>
              <w:widowControl/>
              <w:jc w:val="center"/>
              <w:rPr>
                <w:rFonts w:ascii="宋体" w:hAnsi="宋体" w:eastAsia="宋体" w:cs="宋体"/>
                <w:kern w:val="0"/>
                <w:sz w:val="24"/>
                <w:highlight w:val="none"/>
              </w:rPr>
            </w:pPr>
            <w:r>
              <w:rPr>
                <w:rFonts w:hint="eastAsia" w:ascii="宋体" w:hAnsi="宋体" w:eastAsia="宋体" w:cs="宋体"/>
                <w:kern w:val="0"/>
                <w:sz w:val="24"/>
                <w:highlight w:val="none"/>
              </w:rPr>
              <w:t>评分标准</w:t>
            </w:r>
          </w:p>
        </w:tc>
      </w:tr>
      <w:tr w14:paraId="700C1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7" w:hRule="atLeast"/>
        </w:trPr>
        <w:tc>
          <w:tcPr>
            <w:tcW w:w="3620" w:type="dxa"/>
            <w:gridSpan w:val="2"/>
            <w:noWrap/>
            <w:vAlign w:val="center"/>
          </w:tcPr>
          <w:p w14:paraId="244378F5">
            <w:pPr>
              <w:widowControl/>
              <w:jc w:val="center"/>
              <w:rPr>
                <w:rFonts w:ascii="宋体" w:hAnsi="宋体" w:eastAsia="宋体" w:cs="宋体"/>
                <w:kern w:val="0"/>
                <w:sz w:val="24"/>
                <w:highlight w:val="none"/>
              </w:rPr>
            </w:pPr>
            <w:r>
              <w:rPr>
                <w:rFonts w:hint="eastAsia" w:ascii="宋体" w:hAnsi="宋体" w:eastAsia="宋体" w:cs="宋体"/>
                <w:kern w:val="0"/>
                <w:sz w:val="24"/>
                <w:highlight w:val="none"/>
              </w:rPr>
              <w:t>价格分（10分）</w:t>
            </w:r>
          </w:p>
        </w:tc>
        <w:tc>
          <w:tcPr>
            <w:tcW w:w="5664" w:type="dxa"/>
            <w:vAlign w:val="center"/>
          </w:tcPr>
          <w:p w14:paraId="4B841BCE">
            <w:pPr>
              <w:widowControl/>
              <w:jc w:val="left"/>
              <w:rPr>
                <w:rFonts w:ascii="宋体" w:hAnsi="宋体" w:eastAsia="宋体" w:cs="宋体"/>
                <w:kern w:val="0"/>
                <w:sz w:val="24"/>
                <w:highlight w:val="none"/>
              </w:rPr>
            </w:pPr>
            <w:r>
              <w:rPr>
                <w:rFonts w:hint="eastAsia" w:ascii="宋体" w:hAnsi="宋体" w:eastAsia="宋体" w:cs="宋体"/>
                <w:kern w:val="0"/>
                <w:sz w:val="24"/>
                <w:highlight w:val="none"/>
              </w:rPr>
              <w:t>价格分采用低价优先法计算，即满足采购文件要求且投标价格最低的投标报价为评标基准价，其价格分为满分。其他投标人的价格分统一按照下列公式计算：</w:t>
            </w:r>
          </w:p>
          <w:p w14:paraId="262B8EA5">
            <w:pPr>
              <w:widowControl/>
              <w:jc w:val="left"/>
              <w:rPr>
                <w:rFonts w:ascii="宋体" w:hAnsi="宋体" w:eastAsia="宋体" w:cs="宋体"/>
                <w:kern w:val="0"/>
                <w:sz w:val="24"/>
                <w:highlight w:val="none"/>
              </w:rPr>
            </w:pPr>
            <w:r>
              <w:rPr>
                <w:rFonts w:hint="eastAsia" w:ascii="宋体" w:hAnsi="宋体" w:eastAsia="宋体" w:cs="宋体"/>
                <w:kern w:val="0"/>
                <w:sz w:val="24"/>
                <w:highlight w:val="none"/>
              </w:rPr>
              <w:t>投标报价得分=（评标基准价/投标报价）*10，小数点后保留2位。</w:t>
            </w:r>
          </w:p>
        </w:tc>
      </w:tr>
      <w:tr w14:paraId="5C90B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1867" w:type="dxa"/>
            <w:vMerge w:val="restart"/>
            <w:noWrap/>
            <w:vAlign w:val="center"/>
          </w:tcPr>
          <w:p w14:paraId="1BD4448A">
            <w:pPr>
              <w:widowControl/>
              <w:jc w:val="center"/>
              <w:rPr>
                <w:rFonts w:ascii="宋体" w:hAnsi="宋体" w:eastAsia="宋体" w:cs="宋体"/>
                <w:kern w:val="0"/>
                <w:sz w:val="24"/>
                <w:highlight w:val="none"/>
              </w:rPr>
            </w:pPr>
            <w:r>
              <w:rPr>
                <w:rFonts w:hint="eastAsia" w:ascii="宋体" w:hAnsi="宋体" w:eastAsia="宋体" w:cs="宋体"/>
                <w:kern w:val="0"/>
                <w:sz w:val="24"/>
                <w:highlight w:val="none"/>
              </w:rPr>
              <w:t>技术分</w:t>
            </w:r>
          </w:p>
          <w:p w14:paraId="39562CFD">
            <w:pPr>
              <w:widowControl/>
              <w:jc w:val="center"/>
              <w:rPr>
                <w:rFonts w:ascii="宋体" w:hAnsi="宋体" w:eastAsia="宋体" w:cs="宋体"/>
                <w:kern w:val="0"/>
                <w:sz w:val="24"/>
                <w:highlight w:val="none"/>
              </w:rPr>
            </w:pPr>
            <w:r>
              <w:rPr>
                <w:rFonts w:hint="eastAsia" w:ascii="宋体" w:hAnsi="宋体" w:eastAsia="宋体" w:cs="宋体"/>
                <w:kern w:val="0"/>
                <w:sz w:val="24"/>
                <w:highlight w:val="none"/>
              </w:rPr>
              <w:t>（48分）</w:t>
            </w:r>
          </w:p>
        </w:tc>
        <w:tc>
          <w:tcPr>
            <w:tcW w:w="1753" w:type="dxa"/>
            <w:vAlign w:val="center"/>
          </w:tcPr>
          <w:p w14:paraId="3A08AAFF">
            <w:pPr>
              <w:pBdr>
                <w:top w:val="none" w:color="000000" w:sz="0" w:space="0"/>
                <w:left w:val="none" w:color="000000" w:sz="0" w:space="0"/>
                <w:bottom w:val="none" w:color="000000" w:sz="0" w:space="0"/>
                <w:right w:val="none" w:color="000000" w:sz="0" w:space="0"/>
              </w:pBdr>
              <w:snapToGrid w:val="0"/>
              <w:spacing w:before="200" w:after="200"/>
              <w:jc w:val="center"/>
              <w:rPr>
                <w:rFonts w:ascii="Times New Roman" w:hAnsi="Times New Roman" w:eastAsia="宋体" w:cs="Times New Roman"/>
                <w:color w:val="000000"/>
                <w:spacing w:val="-4"/>
                <w:sz w:val="24"/>
                <w:highlight w:val="none"/>
              </w:rPr>
            </w:pPr>
            <w:r>
              <w:rPr>
                <w:rFonts w:ascii="Times New Roman" w:hAnsi="Times New Roman" w:eastAsia="宋体" w:cs="Times New Roman"/>
                <w:sz w:val="24"/>
                <w:highlight w:val="none"/>
              </w:rPr>
              <w:t>项目</w:t>
            </w:r>
            <w:r>
              <w:rPr>
                <w:rFonts w:ascii="Times New Roman" w:hAnsi="Times New Roman" w:eastAsia="宋体" w:cs="Times New Roman"/>
                <w:color w:val="000000"/>
                <w:spacing w:val="-4"/>
                <w:sz w:val="24"/>
                <w:highlight w:val="none"/>
              </w:rPr>
              <w:t>总体理解</w:t>
            </w:r>
          </w:p>
          <w:p w14:paraId="7994BE3E">
            <w:pPr>
              <w:pBdr>
                <w:top w:val="none" w:color="000000" w:sz="0" w:space="0"/>
                <w:left w:val="none" w:color="000000" w:sz="0" w:space="0"/>
                <w:bottom w:val="none" w:color="000000" w:sz="0" w:space="0"/>
                <w:right w:val="none" w:color="000000" w:sz="0" w:space="0"/>
              </w:pBdr>
              <w:snapToGrid w:val="0"/>
              <w:spacing w:before="200" w:after="200"/>
              <w:jc w:val="center"/>
              <w:rPr>
                <w:rFonts w:ascii="Times New Roman" w:hAnsi="Times New Roman" w:eastAsia="宋体" w:cs="Times New Roman"/>
                <w:color w:val="000000"/>
                <w:spacing w:val="-4"/>
                <w:sz w:val="24"/>
                <w:highlight w:val="none"/>
              </w:rPr>
            </w:pPr>
            <w:r>
              <w:rPr>
                <w:rFonts w:hint="eastAsia" w:ascii="Times New Roman" w:hAnsi="Times New Roman" w:eastAsia="宋体" w:cs="Times New Roman"/>
                <w:color w:val="000000"/>
                <w:spacing w:val="-4"/>
                <w:sz w:val="24"/>
                <w:highlight w:val="none"/>
              </w:rPr>
              <w:t>（8分）</w:t>
            </w:r>
          </w:p>
        </w:tc>
        <w:tc>
          <w:tcPr>
            <w:tcW w:w="5664" w:type="dxa"/>
            <w:vAlign w:val="center"/>
          </w:tcPr>
          <w:p w14:paraId="5A5346E9">
            <w:pPr>
              <w:snapToGrid w:val="0"/>
              <w:jc w:val="left"/>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对</w:t>
            </w:r>
            <w:r>
              <w:rPr>
                <w:rFonts w:ascii="Times New Roman" w:hAnsi="Times New Roman" w:eastAsia="宋体" w:cs="Times New Roman"/>
                <w:sz w:val="24"/>
                <w:highlight w:val="none"/>
              </w:rPr>
              <w:t>投标人提供的项目总体理解进行评审，包括但不限于项目背景、项目现状的理解程度。</w:t>
            </w:r>
          </w:p>
          <w:p w14:paraId="47D4322F">
            <w:pPr>
              <w:snapToGrid w:val="0"/>
              <w:jc w:val="left"/>
              <w:rPr>
                <w:rFonts w:ascii="Times New Roman" w:hAnsi="Times New Roman" w:eastAsia="宋体" w:cs="Times New Roman"/>
                <w:sz w:val="24"/>
                <w:highlight w:val="none"/>
              </w:rPr>
            </w:pPr>
            <w:r>
              <w:rPr>
                <w:rFonts w:ascii="Times New Roman" w:hAnsi="Times New Roman" w:eastAsia="宋体" w:cs="Times New Roman"/>
                <w:sz w:val="24"/>
                <w:highlight w:val="none"/>
              </w:rPr>
              <w:t>（1）项目总体理解程度全面深入，准确把握项目背景、全面剖析项目现状，得</w:t>
            </w:r>
            <w:r>
              <w:rPr>
                <w:rFonts w:hint="eastAsia" w:ascii="Times New Roman" w:hAnsi="Times New Roman" w:eastAsia="宋体" w:cs="Times New Roman"/>
                <w:sz w:val="24"/>
                <w:highlight w:val="none"/>
              </w:rPr>
              <w:t>8</w:t>
            </w:r>
            <w:r>
              <w:rPr>
                <w:rFonts w:ascii="Times New Roman" w:hAnsi="Times New Roman" w:eastAsia="宋体" w:cs="Times New Roman"/>
                <w:sz w:val="24"/>
                <w:highlight w:val="none"/>
              </w:rPr>
              <w:t>分；</w:t>
            </w:r>
          </w:p>
          <w:p w14:paraId="3296113D">
            <w:pPr>
              <w:snapToGrid w:val="0"/>
              <w:jc w:val="left"/>
              <w:rPr>
                <w:rFonts w:ascii="Times New Roman" w:hAnsi="Times New Roman" w:eastAsia="宋体" w:cs="Times New Roman"/>
                <w:sz w:val="24"/>
                <w:highlight w:val="none"/>
              </w:rPr>
            </w:pPr>
            <w:r>
              <w:rPr>
                <w:rFonts w:ascii="Times New Roman" w:hAnsi="Times New Roman" w:eastAsia="宋体" w:cs="Times New Roman"/>
                <w:sz w:val="24"/>
                <w:highlight w:val="none"/>
              </w:rPr>
              <w:t>（2）项目总体理解程度较</w:t>
            </w:r>
            <w:r>
              <w:rPr>
                <w:rFonts w:hint="eastAsia" w:ascii="Times New Roman" w:hAnsi="Times New Roman" w:eastAsia="宋体" w:cs="Times New Roman"/>
                <w:sz w:val="24"/>
                <w:highlight w:val="none"/>
              </w:rPr>
              <w:t>好</w:t>
            </w:r>
            <w:r>
              <w:rPr>
                <w:rFonts w:ascii="Times New Roman" w:hAnsi="Times New Roman" w:eastAsia="宋体" w:cs="Times New Roman"/>
                <w:sz w:val="24"/>
                <w:highlight w:val="none"/>
              </w:rPr>
              <w:t>，基本把握项目背景、对项目现状有</w:t>
            </w:r>
            <w:r>
              <w:rPr>
                <w:rFonts w:hint="eastAsia" w:ascii="Times New Roman" w:hAnsi="Times New Roman" w:eastAsia="宋体" w:cs="Times New Roman"/>
                <w:sz w:val="24"/>
                <w:highlight w:val="none"/>
              </w:rPr>
              <w:t>基本</w:t>
            </w:r>
            <w:r>
              <w:rPr>
                <w:rFonts w:ascii="Times New Roman" w:hAnsi="Times New Roman" w:eastAsia="宋体" w:cs="Times New Roman"/>
                <w:sz w:val="24"/>
                <w:highlight w:val="none"/>
              </w:rPr>
              <w:t>分析，得</w:t>
            </w:r>
            <w:r>
              <w:rPr>
                <w:rFonts w:hint="eastAsia" w:ascii="Times New Roman" w:hAnsi="Times New Roman" w:eastAsia="宋体" w:cs="Times New Roman"/>
                <w:sz w:val="24"/>
                <w:highlight w:val="none"/>
              </w:rPr>
              <w:t>4</w:t>
            </w:r>
            <w:r>
              <w:rPr>
                <w:rFonts w:ascii="Times New Roman" w:hAnsi="Times New Roman" w:eastAsia="宋体" w:cs="Times New Roman"/>
                <w:sz w:val="24"/>
                <w:highlight w:val="none"/>
              </w:rPr>
              <w:t>分；</w:t>
            </w:r>
          </w:p>
          <w:p w14:paraId="422014AC">
            <w:pPr>
              <w:snapToGrid w:val="0"/>
              <w:jc w:val="left"/>
              <w:rPr>
                <w:rFonts w:ascii="Times New Roman" w:hAnsi="Times New Roman" w:eastAsia="宋体" w:cs="Times New Roman"/>
                <w:sz w:val="24"/>
                <w:highlight w:val="none"/>
              </w:rPr>
            </w:pPr>
            <w:r>
              <w:rPr>
                <w:rFonts w:ascii="Times New Roman" w:hAnsi="Times New Roman" w:eastAsia="宋体" w:cs="Times New Roman"/>
                <w:sz w:val="24"/>
                <w:highlight w:val="none"/>
              </w:rPr>
              <w:t>（3）项目总体理解程度一般，对项目背景和项目现状理解</w:t>
            </w:r>
            <w:r>
              <w:rPr>
                <w:rFonts w:hint="eastAsia" w:ascii="Times New Roman" w:hAnsi="Times New Roman" w:eastAsia="宋体" w:cs="Times New Roman"/>
                <w:sz w:val="24"/>
                <w:highlight w:val="none"/>
              </w:rPr>
              <w:t>较差</w:t>
            </w:r>
            <w:r>
              <w:rPr>
                <w:rFonts w:ascii="Times New Roman" w:hAnsi="Times New Roman" w:eastAsia="宋体" w:cs="Times New Roman"/>
                <w:sz w:val="24"/>
                <w:highlight w:val="none"/>
              </w:rPr>
              <w:t>，得</w:t>
            </w:r>
            <w:r>
              <w:rPr>
                <w:rFonts w:hint="eastAsia" w:ascii="Times New Roman" w:hAnsi="Times New Roman" w:eastAsia="宋体" w:cs="Times New Roman"/>
                <w:sz w:val="24"/>
                <w:highlight w:val="none"/>
              </w:rPr>
              <w:t>1</w:t>
            </w:r>
            <w:r>
              <w:rPr>
                <w:rFonts w:ascii="Times New Roman" w:hAnsi="Times New Roman" w:eastAsia="宋体" w:cs="Times New Roman"/>
                <w:sz w:val="24"/>
                <w:highlight w:val="none"/>
              </w:rPr>
              <w:t>分；</w:t>
            </w:r>
          </w:p>
          <w:p w14:paraId="63C5D736">
            <w:pPr>
              <w:snapToGrid w:val="0"/>
              <w:jc w:val="left"/>
              <w:rPr>
                <w:rFonts w:ascii="Times New Roman" w:hAnsi="Times New Roman" w:eastAsia="宋体" w:cs="Times New Roman"/>
                <w:b/>
                <w:bCs/>
                <w:color w:val="000000"/>
                <w:sz w:val="24"/>
                <w:highlight w:val="none"/>
              </w:rPr>
            </w:pPr>
            <w:r>
              <w:rPr>
                <w:rFonts w:hint="eastAsia" w:ascii="Times New Roman" w:hAnsi="Times New Roman" w:eastAsia="宋体" w:cs="Times New Roman"/>
                <w:b/>
                <w:bCs/>
                <w:color w:val="000000"/>
                <w:sz w:val="24"/>
                <w:highlight w:val="none"/>
              </w:rPr>
              <w:t>未见阐述不得分。</w:t>
            </w:r>
          </w:p>
          <w:p w14:paraId="37DE0C75">
            <w:pPr>
              <w:pBdr>
                <w:top w:val="none" w:color="000000" w:sz="0" w:space="0"/>
                <w:left w:val="none" w:color="000000" w:sz="0" w:space="0"/>
                <w:bottom w:val="none" w:color="000000" w:sz="0" w:space="0"/>
                <w:right w:val="none" w:color="000000" w:sz="0" w:space="0"/>
              </w:pBdr>
              <w:snapToGrid w:val="0"/>
              <w:jc w:val="left"/>
              <w:rPr>
                <w:rFonts w:ascii="宋体" w:hAnsi="宋体" w:eastAsia="宋体" w:cs="宋体"/>
                <w:kern w:val="0"/>
                <w:sz w:val="24"/>
                <w:highlight w:val="none"/>
              </w:rPr>
            </w:pPr>
          </w:p>
        </w:tc>
      </w:tr>
      <w:tr w14:paraId="625B4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1867" w:type="dxa"/>
            <w:vMerge w:val="continue"/>
            <w:noWrap/>
            <w:vAlign w:val="center"/>
          </w:tcPr>
          <w:p w14:paraId="36A9B5BD">
            <w:pPr>
              <w:jc w:val="center"/>
              <w:rPr>
                <w:rFonts w:ascii="宋体" w:hAnsi="宋体" w:eastAsia="宋体" w:cs="宋体"/>
                <w:kern w:val="0"/>
                <w:sz w:val="24"/>
                <w:highlight w:val="none"/>
              </w:rPr>
            </w:pPr>
          </w:p>
        </w:tc>
        <w:tc>
          <w:tcPr>
            <w:tcW w:w="1753" w:type="dxa"/>
            <w:vAlign w:val="center"/>
          </w:tcPr>
          <w:p w14:paraId="27ADE1E3">
            <w:pPr>
              <w:pBdr>
                <w:top w:val="none" w:color="000000" w:sz="0" w:space="0"/>
                <w:left w:val="none" w:color="000000" w:sz="0" w:space="0"/>
                <w:bottom w:val="none" w:color="000000" w:sz="0" w:space="0"/>
                <w:right w:val="none" w:color="000000" w:sz="0" w:space="0"/>
              </w:pBdr>
              <w:snapToGrid w:val="0"/>
              <w:spacing w:before="200" w:after="200"/>
              <w:jc w:val="center"/>
              <w:rPr>
                <w:rFonts w:ascii="Times New Roman" w:hAnsi="Times New Roman" w:eastAsia="宋体" w:cs="Times New Roman"/>
                <w:color w:val="000000"/>
                <w:spacing w:val="-4"/>
                <w:sz w:val="24"/>
                <w:highlight w:val="none"/>
              </w:rPr>
            </w:pPr>
            <w:r>
              <w:rPr>
                <w:rFonts w:ascii="Times New Roman" w:hAnsi="Times New Roman" w:eastAsia="宋体" w:cs="Times New Roman"/>
                <w:color w:val="000000"/>
                <w:spacing w:val="-4"/>
                <w:sz w:val="24"/>
                <w:highlight w:val="none"/>
              </w:rPr>
              <w:t>VOC</w:t>
            </w:r>
            <w:r>
              <w:rPr>
                <w:rFonts w:hint="eastAsia" w:ascii="Times New Roman" w:hAnsi="Times New Roman" w:eastAsia="宋体" w:cs="Times New Roman"/>
                <w:color w:val="000000"/>
                <w:spacing w:val="-4"/>
                <w:sz w:val="24"/>
                <w:highlight w:val="none"/>
              </w:rPr>
              <w:t>s</w:t>
            </w:r>
            <w:r>
              <w:rPr>
                <w:rFonts w:ascii="Times New Roman" w:hAnsi="Times New Roman" w:eastAsia="宋体" w:cs="Times New Roman"/>
                <w:color w:val="000000"/>
                <w:spacing w:val="-4"/>
                <w:sz w:val="24"/>
                <w:highlight w:val="none"/>
              </w:rPr>
              <w:t>指纹化管理服务方案</w:t>
            </w:r>
          </w:p>
          <w:p w14:paraId="54BF8D37">
            <w:pPr>
              <w:pBdr>
                <w:top w:val="none" w:color="000000" w:sz="0" w:space="0"/>
                <w:left w:val="none" w:color="000000" w:sz="0" w:space="0"/>
                <w:bottom w:val="none" w:color="000000" w:sz="0" w:space="0"/>
                <w:right w:val="none" w:color="000000" w:sz="0" w:space="0"/>
              </w:pBdr>
              <w:snapToGrid w:val="0"/>
              <w:spacing w:before="200" w:after="200"/>
              <w:jc w:val="center"/>
              <w:rPr>
                <w:rFonts w:ascii="Times New Roman" w:hAnsi="Times New Roman" w:eastAsia="宋体" w:cs="Times New Roman"/>
                <w:color w:val="000000"/>
                <w:spacing w:val="-4"/>
                <w:sz w:val="24"/>
                <w:highlight w:val="none"/>
              </w:rPr>
            </w:pPr>
            <w:r>
              <w:rPr>
                <w:rFonts w:hint="eastAsia" w:ascii="Times New Roman" w:hAnsi="Times New Roman" w:eastAsia="宋体" w:cs="Times New Roman"/>
                <w:color w:val="000000"/>
                <w:spacing w:val="-4"/>
                <w:sz w:val="24"/>
                <w:highlight w:val="none"/>
              </w:rPr>
              <w:t>（8分）</w:t>
            </w:r>
          </w:p>
        </w:tc>
        <w:tc>
          <w:tcPr>
            <w:tcW w:w="5664" w:type="dxa"/>
            <w:vAlign w:val="center"/>
          </w:tcPr>
          <w:p w14:paraId="53996952">
            <w:pPr>
              <w:pBdr>
                <w:top w:val="none" w:color="000000" w:sz="0" w:space="0"/>
                <w:left w:val="none" w:color="000000" w:sz="0" w:space="0"/>
                <w:bottom w:val="none" w:color="000000" w:sz="0" w:space="0"/>
                <w:right w:val="none" w:color="000000" w:sz="0" w:space="0"/>
              </w:pBdr>
              <w:snapToGrid w:val="0"/>
              <w:jc w:val="left"/>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对</w:t>
            </w:r>
            <w:r>
              <w:rPr>
                <w:rFonts w:ascii="Times New Roman" w:hAnsi="Times New Roman" w:eastAsia="宋体" w:cs="Times New Roman"/>
                <w:sz w:val="24"/>
                <w:highlight w:val="none"/>
              </w:rPr>
              <w:t>投标人提供的</w:t>
            </w:r>
            <w:r>
              <w:rPr>
                <w:rFonts w:ascii="Times New Roman" w:hAnsi="Times New Roman" w:eastAsia="宋体" w:cs="Times New Roman"/>
                <w:color w:val="000000"/>
                <w:spacing w:val="-4"/>
                <w:sz w:val="24"/>
                <w:highlight w:val="none"/>
              </w:rPr>
              <w:t>VOC</w:t>
            </w:r>
            <w:r>
              <w:rPr>
                <w:rFonts w:hint="eastAsia" w:ascii="Times New Roman" w:hAnsi="Times New Roman" w:eastAsia="宋体" w:cs="Times New Roman"/>
                <w:color w:val="000000"/>
                <w:spacing w:val="-4"/>
                <w:sz w:val="24"/>
                <w:highlight w:val="none"/>
              </w:rPr>
              <w:t>s</w:t>
            </w:r>
            <w:r>
              <w:rPr>
                <w:rFonts w:ascii="Times New Roman" w:hAnsi="Times New Roman" w:eastAsia="宋体" w:cs="Times New Roman"/>
                <w:color w:val="000000"/>
                <w:spacing w:val="-4"/>
                <w:sz w:val="24"/>
                <w:highlight w:val="none"/>
              </w:rPr>
              <w:t>指纹化管理服务</w:t>
            </w:r>
            <w:r>
              <w:rPr>
                <w:rFonts w:ascii="Times New Roman" w:hAnsi="Times New Roman" w:eastAsia="宋体" w:cs="Times New Roman"/>
                <w:sz w:val="24"/>
                <w:highlight w:val="none"/>
              </w:rPr>
              <w:t>方案进行评审，包括</w:t>
            </w:r>
            <w:r>
              <w:rPr>
                <w:rFonts w:hint="eastAsia" w:ascii="Times New Roman" w:hAnsi="Times New Roman" w:eastAsia="宋体" w:cs="Times New Roman"/>
                <w:sz w:val="24"/>
                <w:highlight w:val="none"/>
              </w:rPr>
              <w:t>“</w:t>
            </w:r>
            <w:r>
              <w:rPr>
                <w:rFonts w:ascii="Times New Roman" w:hAnsi="Times New Roman" w:eastAsia="宋体" w:cs="Times New Roman"/>
                <w:sz w:val="24"/>
                <w:highlight w:val="none"/>
              </w:rPr>
              <w:t>一企一策</w:t>
            </w:r>
            <w:r>
              <w:rPr>
                <w:rFonts w:hint="eastAsia" w:ascii="Times New Roman" w:hAnsi="Times New Roman" w:eastAsia="宋体" w:cs="Times New Roman"/>
                <w:sz w:val="24"/>
                <w:highlight w:val="none"/>
              </w:rPr>
              <w:t>”</w:t>
            </w:r>
            <w:r>
              <w:rPr>
                <w:rFonts w:ascii="Times New Roman" w:hAnsi="Times New Roman" w:eastAsia="宋体" w:cs="Times New Roman"/>
                <w:sz w:val="24"/>
                <w:highlight w:val="none"/>
              </w:rPr>
              <w:t>动态更新、</w:t>
            </w:r>
            <w:r>
              <w:rPr>
                <w:rFonts w:hint="eastAsia" w:ascii="Times New Roman" w:hAnsi="Times New Roman" w:eastAsia="宋体" w:cs="Times New Roman"/>
                <w:sz w:val="24"/>
                <w:highlight w:val="none"/>
              </w:rPr>
              <w:t>“</w:t>
            </w:r>
            <w:r>
              <w:rPr>
                <w:rFonts w:ascii="Times New Roman" w:hAnsi="Times New Roman" w:eastAsia="宋体" w:cs="Times New Roman"/>
                <w:sz w:val="24"/>
                <w:highlight w:val="none"/>
              </w:rPr>
              <w:t>一企一策</w:t>
            </w:r>
            <w:r>
              <w:rPr>
                <w:rFonts w:hint="eastAsia" w:ascii="Times New Roman" w:hAnsi="Times New Roman" w:eastAsia="宋体" w:cs="Times New Roman"/>
                <w:sz w:val="24"/>
                <w:highlight w:val="none"/>
              </w:rPr>
              <w:t>”</w:t>
            </w:r>
            <w:r>
              <w:rPr>
                <w:rFonts w:ascii="Times New Roman" w:hAnsi="Times New Roman" w:eastAsia="宋体" w:cs="Times New Roman"/>
                <w:sz w:val="24"/>
                <w:highlight w:val="none"/>
              </w:rPr>
              <w:t>整改后评估、VOCs排放指纹库</w:t>
            </w:r>
            <w:r>
              <w:rPr>
                <w:rFonts w:hint="eastAsia" w:ascii="Times New Roman" w:hAnsi="Times New Roman" w:eastAsia="宋体" w:cs="Times New Roman"/>
                <w:sz w:val="24"/>
                <w:highlight w:val="none"/>
              </w:rPr>
              <w:t>建设</w:t>
            </w:r>
            <w:r>
              <w:rPr>
                <w:rFonts w:ascii="Times New Roman" w:hAnsi="Times New Roman" w:eastAsia="宋体" w:cs="Times New Roman"/>
                <w:sz w:val="24"/>
                <w:highlight w:val="none"/>
              </w:rPr>
              <w:t>等</w:t>
            </w:r>
            <w:r>
              <w:rPr>
                <w:rFonts w:hint="eastAsia" w:ascii="Times New Roman" w:hAnsi="Times New Roman" w:eastAsia="宋体" w:cs="Times New Roman"/>
                <w:sz w:val="24"/>
                <w:highlight w:val="none"/>
              </w:rPr>
              <w:t>服务</w:t>
            </w:r>
            <w:r>
              <w:rPr>
                <w:rFonts w:ascii="Times New Roman" w:hAnsi="Times New Roman" w:eastAsia="宋体" w:cs="Times New Roman"/>
                <w:sz w:val="24"/>
                <w:highlight w:val="none"/>
              </w:rPr>
              <w:t>。</w:t>
            </w:r>
          </w:p>
          <w:p w14:paraId="3F6A4FAC">
            <w:pPr>
              <w:snapToGrid w:val="0"/>
              <w:jc w:val="left"/>
              <w:rPr>
                <w:rFonts w:ascii="Times New Roman" w:hAnsi="Times New Roman" w:eastAsia="宋体" w:cs="Times New Roman"/>
                <w:sz w:val="24"/>
                <w:highlight w:val="none"/>
              </w:rPr>
            </w:pPr>
            <w:r>
              <w:rPr>
                <w:rFonts w:ascii="Times New Roman" w:hAnsi="Times New Roman" w:eastAsia="宋体" w:cs="Times New Roman"/>
                <w:sz w:val="24"/>
                <w:highlight w:val="none"/>
              </w:rPr>
              <w:t>（1）项目服务方案科学合理，</w:t>
            </w:r>
            <w:r>
              <w:rPr>
                <w:rFonts w:hint="eastAsia" w:ascii="Times New Roman" w:hAnsi="Times New Roman" w:eastAsia="宋体" w:cs="Times New Roman"/>
                <w:sz w:val="24"/>
                <w:highlight w:val="none"/>
              </w:rPr>
              <w:t>可行性强，</w:t>
            </w:r>
            <w:r>
              <w:rPr>
                <w:rFonts w:ascii="Times New Roman" w:hAnsi="Times New Roman" w:eastAsia="宋体" w:cs="Times New Roman"/>
                <w:sz w:val="24"/>
                <w:highlight w:val="none"/>
              </w:rPr>
              <w:t>能够满足采购需求，得</w:t>
            </w:r>
            <w:r>
              <w:rPr>
                <w:rFonts w:hint="eastAsia" w:ascii="Times New Roman" w:hAnsi="Times New Roman" w:eastAsia="宋体" w:cs="Times New Roman"/>
                <w:sz w:val="24"/>
                <w:highlight w:val="none"/>
              </w:rPr>
              <w:t>8</w:t>
            </w:r>
            <w:r>
              <w:rPr>
                <w:rFonts w:ascii="Times New Roman" w:hAnsi="Times New Roman" w:eastAsia="宋体" w:cs="Times New Roman"/>
                <w:sz w:val="24"/>
                <w:highlight w:val="none"/>
              </w:rPr>
              <w:t>分；</w:t>
            </w:r>
          </w:p>
          <w:p w14:paraId="6C7F4E00">
            <w:pPr>
              <w:snapToGrid w:val="0"/>
              <w:jc w:val="left"/>
              <w:rPr>
                <w:rFonts w:ascii="Times New Roman" w:hAnsi="Times New Roman" w:eastAsia="宋体" w:cs="Times New Roman"/>
                <w:sz w:val="24"/>
                <w:highlight w:val="none"/>
              </w:rPr>
            </w:pPr>
            <w:r>
              <w:rPr>
                <w:rFonts w:ascii="Times New Roman" w:hAnsi="Times New Roman" w:eastAsia="宋体" w:cs="Times New Roman"/>
                <w:sz w:val="24"/>
                <w:highlight w:val="none"/>
              </w:rPr>
              <w:t>（2）项目服务方案基本合理，能基本满足采购需求，得</w:t>
            </w:r>
            <w:r>
              <w:rPr>
                <w:rFonts w:hint="eastAsia" w:ascii="Times New Roman" w:hAnsi="Times New Roman" w:eastAsia="宋体" w:cs="Times New Roman"/>
                <w:sz w:val="24"/>
                <w:highlight w:val="none"/>
              </w:rPr>
              <w:t>4</w:t>
            </w:r>
            <w:r>
              <w:rPr>
                <w:rFonts w:ascii="Times New Roman" w:hAnsi="Times New Roman" w:eastAsia="宋体" w:cs="Times New Roman"/>
                <w:sz w:val="24"/>
                <w:highlight w:val="none"/>
              </w:rPr>
              <w:t>分；</w:t>
            </w:r>
          </w:p>
          <w:p w14:paraId="6AE05201">
            <w:pPr>
              <w:snapToGrid w:val="0"/>
              <w:jc w:val="left"/>
              <w:rPr>
                <w:rFonts w:ascii="Times New Roman" w:hAnsi="Times New Roman" w:eastAsia="宋体" w:cs="Times New Roman"/>
                <w:sz w:val="24"/>
                <w:highlight w:val="none"/>
              </w:rPr>
            </w:pPr>
            <w:r>
              <w:rPr>
                <w:rFonts w:ascii="Times New Roman" w:hAnsi="Times New Roman" w:eastAsia="宋体" w:cs="Times New Roman"/>
                <w:sz w:val="24"/>
                <w:highlight w:val="none"/>
              </w:rPr>
              <w:t>（3）项目服务方案</w:t>
            </w:r>
            <w:r>
              <w:rPr>
                <w:rFonts w:hint="eastAsia" w:ascii="Times New Roman" w:hAnsi="Times New Roman" w:eastAsia="宋体" w:cs="Times New Roman"/>
                <w:sz w:val="24"/>
                <w:highlight w:val="none"/>
              </w:rPr>
              <w:t>简单，表述模糊，可行性较差的</w:t>
            </w:r>
            <w:r>
              <w:rPr>
                <w:rFonts w:ascii="Times New Roman" w:hAnsi="Times New Roman" w:eastAsia="宋体" w:cs="Times New Roman"/>
                <w:sz w:val="24"/>
                <w:highlight w:val="none"/>
              </w:rPr>
              <w:t>，得</w:t>
            </w:r>
            <w:r>
              <w:rPr>
                <w:rFonts w:hint="eastAsia" w:ascii="Times New Roman" w:hAnsi="Times New Roman" w:eastAsia="宋体" w:cs="Times New Roman"/>
                <w:sz w:val="24"/>
                <w:highlight w:val="none"/>
              </w:rPr>
              <w:t>1</w:t>
            </w:r>
            <w:r>
              <w:rPr>
                <w:rFonts w:ascii="Times New Roman" w:hAnsi="Times New Roman" w:eastAsia="宋体" w:cs="Times New Roman"/>
                <w:sz w:val="24"/>
                <w:highlight w:val="none"/>
              </w:rPr>
              <w:t>分；</w:t>
            </w:r>
          </w:p>
          <w:p w14:paraId="3AB6E1E1">
            <w:pPr>
              <w:snapToGrid w:val="0"/>
              <w:jc w:val="left"/>
              <w:rPr>
                <w:rFonts w:ascii="Times New Roman" w:hAnsi="Times New Roman" w:eastAsia="宋体" w:cs="Times New Roman"/>
                <w:b/>
                <w:bCs/>
                <w:color w:val="000000"/>
                <w:sz w:val="24"/>
                <w:highlight w:val="none"/>
              </w:rPr>
            </w:pPr>
            <w:r>
              <w:rPr>
                <w:rFonts w:hint="eastAsia" w:ascii="Times New Roman" w:hAnsi="Times New Roman" w:eastAsia="宋体" w:cs="Times New Roman"/>
                <w:b/>
                <w:bCs/>
                <w:color w:val="000000"/>
                <w:sz w:val="24"/>
                <w:highlight w:val="none"/>
              </w:rPr>
              <w:t>未见阐述不得分。</w:t>
            </w:r>
          </w:p>
          <w:p w14:paraId="150455C6">
            <w:pPr>
              <w:snapToGrid w:val="0"/>
              <w:jc w:val="left"/>
              <w:rPr>
                <w:rFonts w:ascii="宋体" w:hAnsi="宋体" w:eastAsia="宋体" w:cs="宋体"/>
                <w:kern w:val="0"/>
                <w:sz w:val="24"/>
                <w:highlight w:val="none"/>
              </w:rPr>
            </w:pPr>
          </w:p>
        </w:tc>
      </w:tr>
      <w:tr w14:paraId="14D0E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2" w:hRule="atLeast"/>
        </w:trPr>
        <w:tc>
          <w:tcPr>
            <w:tcW w:w="1867" w:type="dxa"/>
            <w:vMerge w:val="continue"/>
            <w:noWrap/>
            <w:vAlign w:val="center"/>
          </w:tcPr>
          <w:p w14:paraId="630D3894">
            <w:pPr>
              <w:jc w:val="center"/>
              <w:rPr>
                <w:rFonts w:ascii="宋体" w:hAnsi="宋体" w:eastAsia="宋体" w:cs="宋体"/>
                <w:kern w:val="0"/>
                <w:sz w:val="24"/>
                <w:highlight w:val="none"/>
              </w:rPr>
            </w:pPr>
          </w:p>
        </w:tc>
        <w:tc>
          <w:tcPr>
            <w:tcW w:w="1753" w:type="dxa"/>
            <w:vAlign w:val="center"/>
          </w:tcPr>
          <w:p w14:paraId="0D4077F6">
            <w:pPr>
              <w:pBdr>
                <w:top w:val="none" w:color="000000" w:sz="0" w:space="0"/>
                <w:left w:val="none" w:color="000000" w:sz="0" w:space="0"/>
                <w:bottom w:val="none" w:color="000000" w:sz="0" w:space="0"/>
                <w:right w:val="none" w:color="000000" w:sz="0" w:space="0"/>
              </w:pBdr>
              <w:snapToGrid w:val="0"/>
              <w:spacing w:before="200" w:after="200"/>
              <w:jc w:val="center"/>
              <w:rPr>
                <w:rFonts w:ascii="Times New Roman" w:hAnsi="Times New Roman" w:eastAsia="宋体" w:cs="Times New Roman"/>
                <w:color w:val="000000"/>
                <w:spacing w:val="-4"/>
                <w:sz w:val="24"/>
                <w:highlight w:val="none"/>
              </w:rPr>
            </w:pPr>
            <w:r>
              <w:rPr>
                <w:rFonts w:ascii="Times New Roman" w:hAnsi="Times New Roman" w:eastAsia="宋体" w:cs="Times New Roman"/>
                <w:color w:val="000000"/>
                <w:spacing w:val="-4"/>
                <w:sz w:val="24"/>
                <w:highlight w:val="none"/>
              </w:rPr>
              <w:t>VOCs高值保障服务方案</w:t>
            </w:r>
          </w:p>
          <w:p w14:paraId="7D46C4F2">
            <w:pPr>
              <w:pBdr>
                <w:top w:val="none" w:color="000000" w:sz="0" w:space="0"/>
                <w:left w:val="none" w:color="000000" w:sz="0" w:space="0"/>
                <w:bottom w:val="none" w:color="000000" w:sz="0" w:space="0"/>
                <w:right w:val="none" w:color="000000" w:sz="0" w:space="0"/>
              </w:pBdr>
              <w:snapToGrid w:val="0"/>
              <w:spacing w:before="200" w:after="200"/>
              <w:jc w:val="center"/>
              <w:rPr>
                <w:rFonts w:ascii="Times New Roman" w:hAnsi="Times New Roman" w:eastAsia="宋体" w:cs="Times New Roman"/>
                <w:color w:val="000000"/>
                <w:spacing w:val="-4"/>
                <w:sz w:val="24"/>
                <w:highlight w:val="none"/>
              </w:rPr>
            </w:pPr>
            <w:r>
              <w:rPr>
                <w:rFonts w:hint="eastAsia" w:ascii="Times New Roman" w:hAnsi="Times New Roman" w:eastAsia="宋体" w:cs="Times New Roman"/>
                <w:color w:val="000000"/>
                <w:spacing w:val="-4"/>
                <w:sz w:val="24"/>
                <w:highlight w:val="none"/>
              </w:rPr>
              <w:t>（8分）</w:t>
            </w:r>
          </w:p>
        </w:tc>
        <w:tc>
          <w:tcPr>
            <w:tcW w:w="5664" w:type="dxa"/>
            <w:vAlign w:val="center"/>
          </w:tcPr>
          <w:p w14:paraId="1EFE7B0A">
            <w:pPr>
              <w:pBdr>
                <w:top w:val="none" w:color="000000" w:sz="0" w:space="0"/>
                <w:left w:val="none" w:color="000000" w:sz="0" w:space="0"/>
                <w:bottom w:val="none" w:color="000000" w:sz="0" w:space="0"/>
                <w:right w:val="none" w:color="000000" w:sz="0" w:space="0"/>
              </w:pBdr>
              <w:snapToGrid w:val="0"/>
              <w:jc w:val="left"/>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对</w:t>
            </w:r>
            <w:r>
              <w:rPr>
                <w:rFonts w:ascii="Times New Roman" w:hAnsi="Times New Roman" w:eastAsia="宋体" w:cs="Times New Roman"/>
                <w:sz w:val="24"/>
                <w:highlight w:val="none"/>
              </w:rPr>
              <w:t>投标人提供的VOCs高值保障服务方案进行评审，包括平台数据盯控、溯源分析处置、日报/周报编制、现场溯源、应急管理响应、</w:t>
            </w:r>
            <w:r>
              <w:rPr>
                <w:rFonts w:hint="eastAsia" w:ascii="Times New Roman" w:hAnsi="Times New Roman" w:eastAsia="宋体" w:cs="Times New Roman"/>
                <w:sz w:val="24"/>
                <w:highlight w:val="none"/>
              </w:rPr>
              <w:t>管理支撑服务、走航监测</w:t>
            </w:r>
            <w:r>
              <w:rPr>
                <w:rFonts w:ascii="Times New Roman" w:hAnsi="Times New Roman" w:eastAsia="宋体" w:cs="Times New Roman"/>
                <w:sz w:val="24"/>
                <w:highlight w:val="none"/>
              </w:rPr>
              <w:t>等</w:t>
            </w:r>
            <w:r>
              <w:rPr>
                <w:rFonts w:hint="eastAsia" w:ascii="Times New Roman" w:hAnsi="Times New Roman" w:eastAsia="宋体" w:cs="Times New Roman"/>
                <w:sz w:val="24"/>
                <w:highlight w:val="none"/>
              </w:rPr>
              <w:t>服务</w:t>
            </w:r>
            <w:r>
              <w:rPr>
                <w:rFonts w:ascii="Times New Roman" w:hAnsi="Times New Roman" w:eastAsia="宋体" w:cs="Times New Roman"/>
                <w:sz w:val="24"/>
                <w:highlight w:val="none"/>
              </w:rPr>
              <w:t>。</w:t>
            </w:r>
          </w:p>
          <w:p w14:paraId="23C303AE">
            <w:pPr>
              <w:snapToGrid w:val="0"/>
              <w:jc w:val="left"/>
              <w:rPr>
                <w:rFonts w:ascii="Times New Roman" w:hAnsi="Times New Roman" w:eastAsia="宋体" w:cs="Times New Roman"/>
                <w:sz w:val="24"/>
                <w:highlight w:val="none"/>
              </w:rPr>
            </w:pPr>
            <w:r>
              <w:rPr>
                <w:rFonts w:ascii="Times New Roman" w:hAnsi="Times New Roman" w:eastAsia="宋体" w:cs="Times New Roman"/>
                <w:sz w:val="24"/>
                <w:highlight w:val="none"/>
              </w:rPr>
              <w:t>（1）项目服务方案科学合理，</w:t>
            </w:r>
            <w:r>
              <w:rPr>
                <w:rFonts w:hint="eastAsia" w:ascii="Times New Roman" w:hAnsi="Times New Roman" w:eastAsia="宋体" w:cs="Times New Roman"/>
                <w:sz w:val="24"/>
                <w:highlight w:val="none"/>
              </w:rPr>
              <w:t>可行性强，</w:t>
            </w:r>
            <w:r>
              <w:rPr>
                <w:rFonts w:ascii="Times New Roman" w:hAnsi="Times New Roman" w:eastAsia="宋体" w:cs="Times New Roman"/>
                <w:sz w:val="24"/>
                <w:highlight w:val="none"/>
              </w:rPr>
              <w:t>能够满足采购需求，得</w:t>
            </w:r>
            <w:r>
              <w:rPr>
                <w:rFonts w:hint="eastAsia" w:ascii="Times New Roman" w:hAnsi="Times New Roman" w:eastAsia="宋体" w:cs="Times New Roman"/>
                <w:sz w:val="24"/>
                <w:highlight w:val="none"/>
              </w:rPr>
              <w:t>8</w:t>
            </w:r>
            <w:r>
              <w:rPr>
                <w:rFonts w:ascii="Times New Roman" w:hAnsi="Times New Roman" w:eastAsia="宋体" w:cs="Times New Roman"/>
                <w:sz w:val="24"/>
                <w:highlight w:val="none"/>
              </w:rPr>
              <w:t>分；</w:t>
            </w:r>
          </w:p>
          <w:p w14:paraId="0B70E3E9">
            <w:pPr>
              <w:snapToGrid w:val="0"/>
              <w:jc w:val="left"/>
              <w:rPr>
                <w:rFonts w:ascii="Times New Roman" w:hAnsi="Times New Roman" w:eastAsia="宋体" w:cs="Times New Roman"/>
                <w:sz w:val="24"/>
                <w:highlight w:val="none"/>
              </w:rPr>
            </w:pPr>
            <w:r>
              <w:rPr>
                <w:rFonts w:ascii="Times New Roman" w:hAnsi="Times New Roman" w:eastAsia="宋体" w:cs="Times New Roman"/>
                <w:sz w:val="24"/>
                <w:highlight w:val="none"/>
              </w:rPr>
              <w:t>（2）项目服务方案基本合理，能基本满足采购需求，得</w:t>
            </w:r>
            <w:r>
              <w:rPr>
                <w:rFonts w:hint="eastAsia" w:ascii="Times New Roman" w:hAnsi="Times New Roman" w:eastAsia="宋体" w:cs="Times New Roman"/>
                <w:sz w:val="24"/>
                <w:highlight w:val="none"/>
              </w:rPr>
              <w:t>4</w:t>
            </w:r>
            <w:r>
              <w:rPr>
                <w:rFonts w:ascii="Times New Roman" w:hAnsi="Times New Roman" w:eastAsia="宋体" w:cs="Times New Roman"/>
                <w:sz w:val="24"/>
                <w:highlight w:val="none"/>
              </w:rPr>
              <w:t>分；</w:t>
            </w:r>
          </w:p>
          <w:p w14:paraId="04E40FE1">
            <w:pPr>
              <w:snapToGrid w:val="0"/>
              <w:jc w:val="left"/>
              <w:rPr>
                <w:rFonts w:ascii="Times New Roman" w:hAnsi="Times New Roman" w:eastAsia="宋体" w:cs="Times New Roman"/>
                <w:sz w:val="24"/>
                <w:highlight w:val="none"/>
              </w:rPr>
            </w:pPr>
            <w:r>
              <w:rPr>
                <w:rFonts w:ascii="Times New Roman" w:hAnsi="Times New Roman" w:eastAsia="宋体" w:cs="Times New Roman"/>
                <w:sz w:val="24"/>
                <w:highlight w:val="none"/>
              </w:rPr>
              <w:t>（3）项目服务方案</w:t>
            </w:r>
            <w:r>
              <w:rPr>
                <w:rFonts w:hint="eastAsia" w:ascii="Times New Roman" w:hAnsi="Times New Roman" w:eastAsia="宋体" w:cs="Times New Roman"/>
                <w:sz w:val="24"/>
                <w:highlight w:val="none"/>
              </w:rPr>
              <w:t>简单，表述模糊，可行性较差的</w:t>
            </w:r>
            <w:r>
              <w:rPr>
                <w:rFonts w:ascii="Times New Roman" w:hAnsi="Times New Roman" w:eastAsia="宋体" w:cs="Times New Roman"/>
                <w:sz w:val="24"/>
                <w:highlight w:val="none"/>
              </w:rPr>
              <w:t>，得</w:t>
            </w:r>
            <w:r>
              <w:rPr>
                <w:rFonts w:hint="eastAsia" w:ascii="Times New Roman" w:hAnsi="Times New Roman" w:eastAsia="宋体" w:cs="Times New Roman"/>
                <w:sz w:val="24"/>
                <w:highlight w:val="none"/>
              </w:rPr>
              <w:t>1</w:t>
            </w:r>
            <w:r>
              <w:rPr>
                <w:rFonts w:ascii="Times New Roman" w:hAnsi="Times New Roman" w:eastAsia="宋体" w:cs="Times New Roman"/>
                <w:sz w:val="24"/>
                <w:highlight w:val="none"/>
              </w:rPr>
              <w:t>分；</w:t>
            </w:r>
          </w:p>
          <w:p w14:paraId="3C41E0FD">
            <w:pPr>
              <w:snapToGrid w:val="0"/>
              <w:jc w:val="left"/>
              <w:rPr>
                <w:rFonts w:ascii="Times New Roman" w:hAnsi="Times New Roman" w:eastAsia="宋体" w:cs="Times New Roman"/>
                <w:b/>
                <w:bCs/>
                <w:color w:val="000000"/>
                <w:sz w:val="24"/>
                <w:highlight w:val="none"/>
              </w:rPr>
            </w:pPr>
            <w:r>
              <w:rPr>
                <w:rFonts w:hint="eastAsia" w:ascii="Times New Roman" w:hAnsi="Times New Roman" w:eastAsia="宋体" w:cs="Times New Roman"/>
                <w:b/>
                <w:bCs/>
                <w:color w:val="000000"/>
                <w:sz w:val="24"/>
                <w:highlight w:val="none"/>
              </w:rPr>
              <w:t>未见阐述不得分。</w:t>
            </w:r>
          </w:p>
          <w:p w14:paraId="466110DE">
            <w:pPr>
              <w:pBdr>
                <w:top w:val="none" w:color="000000" w:sz="0" w:space="0"/>
                <w:left w:val="none" w:color="000000" w:sz="0" w:space="0"/>
                <w:bottom w:val="none" w:color="000000" w:sz="0" w:space="0"/>
                <w:right w:val="none" w:color="000000" w:sz="0" w:space="0"/>
              </w:pBdr>
              <w:snapToGrid w:val="0"/>
              <w:jc w:val="left"/>
              <w:rPr>
                <w:rFonts w:ascii="宋体" w:hAnsi="宋体" w:eastAsia="宋体" w:cs="宋体"/>
                <w:kern w:val="0"/>
                <w:sz w:val="24"/>
                <w:highlight w:val="none"/>
              </w:rPr>
            </w:pPr>
          </w:p>
        </w:tc>
      </w:tr>
      <w:tr w14:paraId="5121B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5" w:hRule="atLeast"/>
        </w:trPr>
        <w:tc>
          <w:tcPr>
            <w:tcW w:w="1867" w:type="dxa"/>
            <w:vMerge w:val="continue"/>
            <w:noWrap/>
            <w:vAlign w:val="center"/>
          </w:tcPr>
          <w:p w14:paraId="2E6E222E">
            <w:pPr>
              <w:jc w:val="center"/>
              <w:rPr>
                <w:rFonts w:ascii="宋体" w:hAnsi="宋体" w:eastAsia="宋体" w:cs="宋体"/>
                <w:kern w:val="0"/>
                <w:sz w:val="24"/>
                <w:highlight w:val="none"/>
              </w:rPr>
            </w:pPr>
          </w:p>
        </w:tc>
        <w:tc>
          <w:tcPr>
            <w:tcW w:w="1753" w:type="dxa"/>
            <w:vAlign w:val="center"/>
          </w:tcPr>
          <w:p w14:paraId="5221FB41">
            <w:pPr>
              <w:pBdr>
                <w:top w:val="none" w:color="000000" w:sz="0" w:space="0"/>
                <w:left w:val="none" w:color="000000" w:sz="0" w:space="0"/>
                <w:bottom w:val="none" w:color="000000" w:sz="0" w:space="0"/>
                <w:right w:val="none" w:color="000000" w:sz="0" w:space="0"/>
              </w:pBdr>
              <w:snapToGrid w:val="0"/>
              <w:spacing w:before="200" w:after="200"/>
              <w:jc w:val="center"/>
              <w:rPr>
                <w:rFonts w:ascii="Times New Roman" w:hAnsi="Times New Roman" w:eastAsia="宋体" w:cs="Times New Roman"/>
                <w:color w:val="000000"/>
                <w:spacing w:val="-4"/>
                <w:sz w:val="24"/>
                <w:highlight w:val="none"/>
              </w:rPr>
            </w:pPr>
            <w:r>
              <w:rPr>
                <w:rFonts w:ascii="Times New Roman" w:hAnsi="Times New Roman" w:eastAsia="宋体" w:cs="Times New Roman"/>
                <w:color w:val="000000"/>
                <w:spacing w:val="-4"/>
                <w:sz w:val="24"/>
                <w:highlight w:val="none"/>
              </w:rPr>
              <w:t>非甲烷总烃监测服务方案</w:t>
            </w:r>
          </w:p>
          <w:p w14:paraId="7CB0BD75">
            <w:pPr>
              <w:pBdr>
                <w:top w:val="none" w:color="000000" w:sz="0" w:space="0"/>
                <w:left w:val="none" w:color="000000" w:sz="0" w:space="0"/>
                <w:bottom w:val="none" w:color="000000" w:sz="0" w:space="0"/>
                <w:right w:val="none" w:color="000000" w:sz="0" w:space="0"/>
              </w:pBdr>
              <w:snapToGrid w:val="0"/>
              <w:spacing w:before="200" w:after="200"/>
              <w:jc w:val="center"/>
              <w:rPr>
                <w:rFonts w:ascii="Times New Roman" w:hAnsi="Times New Roman" w:eastAsia="宋体" w:cs="Times New Roman"/>
                <w:color w:val="000000"/>
                <w:spacing w:val="-4"/>
                <w:sz w:val="24"/>
                <w:highlight w:val="none"/>
              </w:rPr>
            </w:pPr>
            <w:r>
              <w:rPr>
                <w:rFonts w:hint="eastAsia" w:ascii="Times New Roman" w:hAnsi="Times New Roman" w:eastAsia="宋体" w:cs="Times New Roman"/>
                <w:color w:val="000000"/>
                <w:spacing w:val="-4"/>
                <w:sz w:val="24"/>
                <w:highlight w:val="none"/>
              </w:rPr>
              <w:t>（6分）</w:t>
            </w:r>
          </w:p>
        </w:tc>
        <w:tc>
          <w:tcPr>
            <w:tcW w:w="5664" w:type="dxa"/>
            <w:vAlign w:val="center"/>
          </w:tcPr>
          <w:p w14:paraId="23613155">
            <w:pPr>
              <w:pBdr>
                <w:top w:val="none" w:color="000000" w:sz="0" w:space="0"/>
                <w:left w:val="none" w:color="000000" w:sz="0" w:space="0"/>
                <w:bottom w:val="none" w:color="000000" w:sz="0" w:space="0"/>
                <w:right w:val="none" w:color="000000" w:sz="0" w:space="0"/>
              </w:pBdr>
              <w:snapToGrid w:val="0"/>
              <w:jc w:val="left"/>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对</w:t>
            </w:r>
            <w:r>
              <w:rPr>
                <w:rFonts w:ascii="Times New Roman" w:hAnsi="Times New Roman" w:eastAsia="宋体" w:cs="Times New Roman"/>
                <w:sz w:val="24"/>
                <w:highlight w:val="none"/>
              </w:rPr>
              <w:t>投标人提供的非甲烷总烃监测服务方案进行评审。</w:t>
            </w:r>
          </w:p>
          <w:p w14:paraId="62AE5F38">
            <w:pPr>
              <w:snapToGrid w:val="0"/>
              <w:jc w:val="left"/>
              <w:rPr>
                <w:rFonts w:ascii="Times New Roman" w:hAnsi="Times New Roman" w:eastAsia="宋体" w:cs="Times New Roman"/>
                <w:sz w:val="24"/>
                <w:highlight w:val="none"/>
              </w:rPr>
            </w:pPr>
            <w:r>
              <w:rPr>
                <w:rFonts w:ascii="Times New Roman" w:hAnsi="Times New Roman" w:eastAsia="宋体" w:cs="Times New Roman"/>
                <w:sz w:val="24"/>
                <w:highlight w:val="none"/>
              </w:rPr>
              <w:t>（1）项目服务方案科学合理，</w:t>
            </w:r>
            <w:r>
              <w:rPr>
                <w:rFonts w:hint="eastAsia" w:ascii="Times New Roman" w:hAnsi="Times New Roman" w:eastAsia="宋体" w:cs="Times New Roman"/>
                <w:sz w:val="24"/>
                <w:highlight w:val="none"/>
              </w:rPr>
              <w:t>可行性强，</w:t>
            </w:r>
            <w:r>
              <w:rPr>
                <w:rFonts w:ascii="Times New Roman" w:hAnsi="Times New Roman" w:eastAsia="宋体" w:cs="Times New Roman"/>
                <w:sz w:val="24"/>
                <w:highlight w:val="none"/>
              </w:rPr>
              <w:t>能够满足采购需求，得</w:t>
            </w:r>
            <w:r>
              <w:rPr>
                <w:rFonts w:hint="eastAsia" w:ascii="Times New Roman" w:hAnsi="Times New Roman" w:eastAsia="宋体" w:cs="Times New Roman"/>
                <w:sz w:val="24"/>
                <w:highlight w:val="none"/>
              </w:rPr>
              <w:t>6</w:t>
            </w:r>
            <w:r>
              <w:rPr>
                <w:rFonts w:ascii="Times New Roman" w:hAnsi="Times New Roman" w:eastAsia="宋体" w:cs="Times New Roman"/>
                <w:sz w:val="24"/>
                <w:highlight w:val="none"/>
              </w:rPr>
              <w:t>分；</w:t>
            </w:r>
          </w:p>
          <w:p w14:paraId="5687E346">
            <w:pPr>
              <w:snapToGrid w:val="0"/>
              <w:jc w:val="left"/>
              <w:rPr>
                <w:rFonts w:ascii="Times New Roman" w:hAnsi="Times New Roman" w:eastAsia="宋体" w:cs="Times New Roman"/>
                <w:sz w:val="24"/>
                <w:highlight w:val="none"/>
              </w:rPr>
            </w:pPr>
            <w:r>
              <w:rPr>
                <w:rFonts w:ascii="Times New Roman" w:hAnsi="Times New Roman" w:eastAsia="宋体" w:cs="Times New Roman"/>
                <w:sz w:val="24"/>
                <w:highlight w:val="none"/>
              </w:rPr>
              <w:t>（2）项目服务方案基本合理，能基本满足采购需求，得</w:t>
            </w:r>
            <w:r>
              <w:rPr>
                <w:rFonts w:hint="eastAsia" w:ascii="Times New Roman" w:hAnsi="Times New Roman" w:eastAsia="宋体" w:cs="Times New Roman"/>
                <w:sz w:val="24"/>
                <w:highlight w:val="none"/>
              </w:rPr>
              <w:t>3</w:t>
            </w:r>
            <w:r>
              <w:rPr>
                <w:rFonts w:ascii="Times New Roman" w:hAnsi="Times New Roman" w:eastAsia="宋体" w:cs="Times New Roman"/>
                <w:sz w:val="24"/>
                <w:highlight w:val="none"/>
              </w:rPr>
              <w:t>分；</w:t>
            </w:r>
          </w:p>
          <w:p w14:paraId="3626DEE7">
            <w:pPr>
              <w:snapToGrid w:val="0"/>
              <w:jc w:val="left"/>
              <w:rPr>
                <w:rFonts w:ascii="Times New Roman" w:hAnsi="Times New Roman" w:eastAsia="宋体" w:cs="Times New Roman"/>
                <w:sz w:val="24"/>
                <w:highlight w:val="none"/>
              </w:rPr>
            </w:pPr>
            <w:r>
              <w:rPr>
                <w:rFonts w:ascii="Times New Roman" w:hAnsi="Times New Roman" w:eastAsia="宋体" w:cs="Times New Roman"/>
                <w:sz w:val="24"/>
                <w:highlight w:val="none"/>
              </w:rPr>
              <w:t>（3）项目服务方案</w:t>
            </w:r>
            <w:r>
              <w:rPr>
                <w:rFonts w:hint="eastAsia" w:ascii="Times New Roman" w:hAnsi="Times New Roman" w:eastAsia="宋体" w:cs="Times New Roman"/>
                <w:sz w:val="24"/>
                <w:highlight w:val="none"/>
              </w:rPr>
              <w:t>简单，表述模糊，可行性较差的</w:t>
            </w:r>
            <w:r>
              <w:rPr>
                <w:rFonts w:ascii="Times New Roman" w:hAnsi="Times New Roman" w:eastAsia="宋体" w:cs="Times New Roman"/>
                <w:sz w:val="24"/>
                <w:highlight w:val="none"/>
              </w:rPr>
              <w:t>，得</w:t>
            </w:r>
            <w:r>
              <w:rPr>
                <w:rFonts w:hint="eastAsia" w:ascii="Times New Roman" w:hAnsi="Times New Roman" w:eastAsia="宋体" w:cs="Times New Roman"/>
                <w:sz w:val="24"/>
                <w:highlight w:val="none"/>
              </w:rPr>
              <w:t>1</w:t>
            </w:r>
            <w:r>
              <w:rPr>
                <w:rFonts w:ascii="Times New Roman" w:hAnsi="Times New Roman" w:eastAsia="宋体" w:cs="Times New Roman"/>
                <w:sz w:val="24"/>
                <w:highlight w:val="none"/>
              </w:rPr>
              <w:t>分；</w:t>
            </w:r>
          </w:p>
          <w:p w14:paraId="0C422208">
            <w:pPr>
              <w:snapToGrid w:val="0"/>
              <w:jc w:val="left"/>
              <w:rPr>
                <w:rFonts w:ascii="Times New Roman" w:hAnsi="Times New Roman" w:eastAsia="宋体" w:cs="Times New Roman"/>
                <w:b/>
                <w:bCs/>
                <w:color w:val="000000"/>
                <w:sz w:val="24"/>
                <w:highlight w:val="none"/>
              </w:rPr>
            </w:pPr>
            <w:r>
              <w:rPr>
                <w:rFonts w:hint="eastAsia" w:ascii="Times New Roman" w:hAnsi="Times New Roman" w:eastAsia="宋体" w:cs="Times New Roman"/>
                <w:b/>
                <w:bCs/>
                <w:color w:val="000000"/>
                <w:sz w:val="24"/>
                <w:highlight w:val="none"/>
              </w:rPr>
              <w:t>未见阐述不得分。</w:t>
            </w:r>
          </w:p>
          <w:p w14:paraId="602045C6">
            <w:pPr>
              <w:pBdr>
                <w:top w:val="none" w:color="000000" w:sz="0" w:space="0"/>
                <w:left w:val="none" w:color="000000" w:sz="0" w:space="0"/>
                <w:bottom w:val="none" w:color="000000" w:sz="0" w:space="0"/>
                <w:right w:val="none" w:color="000000" w:sz="0" w:space="0"/>
              </w:pBdr>
              <w:snapToGrid w:val="0"/>
              <w:jc w:val="left"/>
              <w:rPr>
                <w:rFonts w:ascii="宋体" w:hAnsi="宋体" w:eastAsia="宋体" w:cs="宋体"/>
                <w:kern w:val="0"/>
                <w:sz w:val="24"/>
                <w:highlight w:val="none"/>
              </w:rPr>
            </w:pPr>
          </w:p>
        </w:tc>
      </w:tr>
      <w:tr w14:paraId="31BB3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6" w:hRule="atLeast"/>
        </w:trPr>
        <w:tc>
          <w:tcPr>
            <w:tcW w:w="1867" w:type="dxa"/>
            <w:vMerge w:val="continue"/>
            <w:noWrap/>
            <w:vAlign w:val="center"/>
          </w:tcPr>
          <w:p w14:paraId="159B3BF3">
            <w:pPr>
              <w:jc w:val="center"/>
              <w:rPr>
                <w:rFonts w:ascii="宋体" w:hAnsi="宋体" w:eastAsia="宋体" w:cs="宋体"/>
                <w:kern w:val="0"/>
                <w:sz w:val="24"/>
                <w:highlight w:val="none"/>
              </w:rPr>
            </w:pPr>
          </w:p>
        </w:tc>
        <w:tc>
          <w:tcPr>
            <w:tcW w:w="1753" w:type="dxa"/>
            <w:noWrap/>
            <w:vAlign w:val="center"/>
          </w:tcPr>
          <w:p w14:paraId="7F579C1C">
            <w:pPr>
              <w:pBdr>
                <w:top w:val="none" w:color="000000" w:sz="0" w:space="0"/>
                <w:left w:val="none" w:color="000000" w:sz="0" w:space="0"/>
                <w:bottom w:val="none" w:color="000000" w:sz="0" w:space="0"/>
                <w:right w:val="none" w:color="000000" w:sz="0" w:space="0"/>
              </w:pBdr>
              <w:snapToGrid w:val="0"/>
              <w:spacing w:before="200" w:after="200"/>
              <w:jc w:val="center"/>
              <w:rPr>
                <w:rFonts w:ascii="Times New Roman" w:hAnsi="Times New Roman" w:eastAsia="宋体" w:cs="Times New Roman"/>
                <w:color w:val="000000"/>
                <w:spacing w:val="-4"/>
                <w:sz w:val="24"/>
                <w:highlight w:val="none"/>
              </w:rPr>
            </w:pPr>
            <w:r>
              <w:rPr>
                <w:rFonts w:hint="eastAsia" w:ascii="Times New Roman" w:hAnsi="Times New Roman" w:eastAsia="宋体" w:cs="Times New Roman"/>
                <w:color w:val="000000"/>
                <w:spacing w:val="-4"/>
                <w:sz w:val="24"/>
                <w:highlight w:val="none"/>
              </w:rPr>
              <w:t>智慧管理大数据平台建设</w:t>
            </w:r>
            <w:r>
              <w:rPr>
                <w:rFonts w:ascii="Times New Roman" w:hAnsi="Times New Roman" w:eastAsia="宋体" w:cs="Times New Roman"/>
                <w:color w:val="000000"/>
                <w:spacing w:val="-4"/>
                <w:sz w:val="24"/>
                <w:highlight w:val="none"/>
              </w:rPr>
              <w:t>方案</w:t>
            </w:r>
          </w:p>
          <w:p w14:paraId="5F0CDF46">
            <w:pPr>
              <w:pBdr>
                <w:top w:val="none" w:color="000000" w:sz="0" w:space="0"/>
                <w:left w:val="none" w:color="000000" w:sz="0" w:space="0"/>
                <w:bottom w:val="none" w:color="000000" w:sz="0" w:space="0"/>
                <w:right w:val="none" w:color="000000" w:sz="0" w:space="0"/>
              </w:pBdr>
              <w:snapToGrid w:val="0"/>
              <w:spacing w:before="200" w:after="200"/>
              <w:jc w:val="center"/>
              <w:rPr>
                <w:rFonts w:ascii="Times New Roman" w:hAnsi="Times New Roman" w:eastAsia="宋体" w:cs="Times New Roman"/>
                <w:color w:val="000000"/>
                <w:spacing w:val="-4"/>
                <w:sz w:val="24"/>
                <w:highlight w:val="none"/>
              </w:rPr>
            </w:pPr>
            <w:r>
              <w:rPr>
                <w:rFonts w:hint="eastAsia" w:ascii="Times New Roman" w:hAnsi="Times New Roman" w:eastAsia="宋体" w:cs="Times New Roman"/>
                <w:color w:val="000000"/>
                <w:spacing w:val="-4"/>
                <w:sz w:val="24"/>
                <w:highlight w:val="none"/>
              </w:rPr>
              <w:t>（6分）</w:t>
            </w:r>
          </w:p>
        </w:tc>
        <w:tc>
          <w:tcPr>
            <w:tcW w:w="5664" w:type="dxa"/>
            <w:vAlign w:val="center"/>
          </w:tcPr>
          <w:p w14:paraId="0BDE5913">
            <w:pPr>
              <w:pBdr>
                <w:top w:val="none" w:color="000000" w:sz="0" w:space="0"/>
                <w:left w:val="none" w:color="000000" w:sz="0" w:space="0"/>
                <w:bottom w:val="none" w:color="000000" w:sz="0" w:space="0"/>
                <w:right w:val="none" w:color="000000" w:sz="0" w:space="0"/>
              </w:pBdr>
              <w:snapToGrid w:val="0"/>
              <w:jc w:val="left"/>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对</w:t>
            </w:r>
            <w:r>
              <w:rPr>
                <w:rFonts w:ascii="Times New Roman" w:hAnsi="Times New Roman" w:eastAsia="宋体" w:cs="Times New Roman"/>
                <w:sz w:val="24"/>
                <w:highlight w:val="none"/>
              </w:rPr>
              <w:t>投标人提供的</w:t>
            </w:r>
            <w:r>
              <w:rPr>
                <w:rFonts w:hint="eastAsia" w:ascii="Times New Roman" w:hAnsi="Times New Roman" w:eastAsia="宋体" w:cs="Times New Roman"/>
                <w:sz w:val="24"/>
                <w:highlight w:val="none"/>
              </w:rPr>
              <w:t>智慧管理大数据平台建设方案</w:t>
            </w:r>
            <w:r>
              <w:rPr>
                <w:rFonts w:ascii="Times New Roman" w:hAnsi="Times New Roman" w:eastAsia="宋体" w:cs="Times New Roman"/>
                <w:sz w:val="24"/>
                <w:highlight w:val="none"/>
              </w:rPr>
              <w:t>进行评审，包括</w:t>
            </w:r>
            <w:r>
              <w:rPr>
                <w:rFonts w:hint="eastAsia" w:ascii="Times New Roman" w:hAnsi="Times New Roman" w:eastAsia="宋体" w:cs="Times New Roman"/>
                <w:sz w:val="24"/>
                <w:highlight w:val="none"/>
              </w:rPr>
              <w:t>数据接入</w:t>
            </w:r>
            <w:r>
              <w:rPr>
                <w:rFonts w:ascii="Times New Roman" w:hAnsi="Times New Roman" w:eastAsia="宋体" w:cs="Times New Roman"/>
                <w:sz w:val="24"/>
                <w:highlight w:val="none"/>
              </w:rPr>
              <w:t>、</w:t>
            </w:r>
            <w:r>
              <w:rPr>
                <w:rFonts w:hint="eastAsia" w:ascii="Times New Roman" w:hAnsi="Times New Roman" w:eastAsia="宋体" w:cs="Times New Roman"/>
                <w:sz w:val="24"/>
                <w:highlight w:val="none"/>
              </w:rPr>
              <w:t>数据展示和基础分析支撑、</w:t>
            </w:r>
            <w:r>
              <w:rPr>
                <w:rFonts w:ascii="Times New Roman" w:hAnsi="Times New Roman" w:eastAsia="宋体" w:cs="Times New Roman"/>
                <w:sz w:val="24"/>
                <w:highlight w:val="none"/>
              </w:rPr>
              <w:t>污染溯源管理</w:t>
            </w:r>
            <w:r>
              <w:rPr>
                <w:rFonts w:hint="eastAsia" w:ascii="Times New Roman" w:hAnsi="Times New Roman" w:eastAsia="宋体" w:cs="Times New Roman"/>
                <w:sz w:val="24"/>
                <w:highlight w:val="none"/>
              </w:rPr>
              <w:t>、碳排放管理</w:t>
            </w:r>
            <w:r>
              <w:rPr>
                <w:rFonts w:ascii="Times New Roman" w:hAnsi="Times New Roman" w:eastAsia="宋体" w:cs="Times New Roman"/>
                <w:sz w:val="24"/>
                <w:highlight w:val="none"/>
              </w:rPr>
              <w:t>等</w:t>
            </w:r>
            <w:r>
              <w:rPr>
                <w:rFonts w:hint="eastAsia" w:ascii="Times New Roman" w:hAnsi="Times New Roman" w:eastAsia="宋体" w:cs="Times New Roman"/>
                <w:sz w:val="24"/>
                <w:highlight w:val="none"/>
              </w:rPr>
              <w:t>内容</w:t>
            </w:r>
            <w:r>
              <w:rPr>
                <w:rFonts w:ascii="Times New Roman" w:hAnsi="Times New Roman" w:eastAsia="宋体" w:cs="Times New Roman"/>
                <w:sz w:val="24"/>
                <w:highlight w:val="none"/>
              </w:rPr>
              <w:t>。</w:t>
            </w:r>
          </w:p>
          <w:p w14:paraId="6C0BDCCE">
            <w:pPr>
              <w:snapToGrid w:val="0"/>
              <w:jc w:val="left"/>
              <w:rPr>
                <w:rFonts w:ascii="Times New Roman" w:hAnsi="Times New Roman" w:eastAsia="宋体" w:cs="Times New Roman"/>
                <w:sz w:val="24"/>
                <w:highlight w:val="none"/>
              </w:rPr>
            </w:pPr>
            <w:r>
              <w:rPr>
                <w:rFonts w:ascii="Times New Roman" w:hAnsi="Times New Roman" w:eastAsia="宋体" w:cs="Times New Roman"/>
                <w:sz w:val="24"/>
                <w:highlight w:val="none"/>
              </w:rPr>
              <w:t>（1）项目</w:t>
            </w:r>
            <w:r>
              <w:rPr>
                <w:rFonts w:hint="eastAsia" w:ascii="Times New Roman" w:hAnsi="Times New Roman" w:eastAsia="宋体" w:cs="Times New Roman"/>
                <w:sz w:val="24"/>
                <w:highlight w:val="none"/>
              </w:rPr>
              <w:t>建设</w:t>
            </w:r>
            <w:r>
              <w:rPr>
                <w:rFonts w:ascii="Times New Roman" w:hAnsi="Times New Roman" w:eastAsia="宋体" w:cs="Times New Roman"/>
                <w:sz w:val="24"/>
                <w:highlight w:val="none"/>
              </w:rPr>
              <w:t>方案科学合理，</w:t>
            </w:r>
            <w:r>
              <w:rPr>
                <w:rFonts w:hint="eastAsia" w:ascii="Times New Roman" w:hAnsi="Times New Roman" w:eastAsia="宋体" w:cs="Times New Roman"/>
                <w:sz w:val="24"/>
                <w:highlight w:val="none"/>
              </w:rPr>
              <w:t>可行性强，</w:t>
            </w:r>
            <w:r>
              <w:rPr>
                <w:rFonts w:ascii="Times New Roman" w:hAnsi="Times New Roman" w:eastAsia="宋体" w:cs="Times New Roman"/>
                <w:sz w:val="24"/>
                <w:highlight w:val="none"/>
              </w:rPr>
              <w:t>能够满足采购需求，得</w:t>
            </w:r>
            <w:r>
              <w:rPr>
                <w:rFonts w:hint="eastAsia" w:ascii="Times New Roman" w:hAnsi="Times New Roman" w:eastAsia="宋体" w:cs="Times New Roman"/>
                <w:sz w:val="24"/>
                <w:highlight w:val="none"/>
              </w:rPr>
              <w:t>6</w:t>
            </w:r>
            <w:r>
              <w:rPr>
                <w:rFonts w:ascii="Times New Roman" w:hAnsi="Times New Roman" w:eastAsia="宋体" w:cs="Times New Roman"/>
                <w:sz w:val="24"/>
                <w:highlight w:val="none"/>
              </w:rPr>
              <w:t>分；</w:t>
            </w:r>
          </w:p>
          <w:p w14:paraId="1E22BFCD">
            <w:pPr>
              <w:snapToGrid w:val="0"/>
              <w:jc w:val="left"/>
              <w:rPr>
                <w:rFonts w:ascii="Times New Roman" w:hAnsi="Times New Roman" w:eastAsia="宋体" w:cs="Times New Roman"/>
                <w:sz w:val="24"/>
                <w:highlight w:val="none"/>
              </w:rPr>
            </w:pPr>
            <w:r>
              <w:rPr>
                <w:rFonts w:ascii="Times New Roman" w:hAnsi="Times New Roman" w:eastAsia="宋体" w:cs="Times New Roman"/>
                <w:sz w:val="24"/>
                <w:highlight w:val="none"/>
              </w:rPr>
              <w:t>（2）项目</w:t>
            </w:r>
            <w:r>
              <w:rPr>
                <w:rFonts w:hint="eastAsia" w:ascii="Times New Roman" w:hAnsi="Times New Roman" w:eastAsia="宋体" w:cs="Times New Roman"/>
                <w:sz w:val="24"/>
                <w:highlight w:val="none"/>
              </w:rPr>
              <w:t>建设</w:t>
            </w:r>
            <w:r>
              <w:rPr>
                <w:rFonts w:ascii="Times New Roman" w:hAnsi="Times New Roman" w:eastAsia="宋体" w:cs="Times New Roman"/>
                <w:sz w:val="24"/>
                <w:highlight w:val="none"/>
              </w:rPr>
              <w:t>方案基本合理，能基本满足采购需求，得</w:t>
            </w:r>
            <w:r>
              <w:rPr>
                <w:rFonts w:hint="eastAsia" w:ascii="Times New Roman" w:hAnsi="Times New Roman" w:eastAsia="宋体" w:cs="Times New Roman"/>
                <w:sz w:val="24"/>
                <w:highlight w:val="none"/>
              </w:rPr>
              <w:t>3</w:t>
            </w:r>
            <w:r>
              <w:rPr>
                <w:rFonts w:ascii="Times New Roman" w:hAnsi="Times New Roman" w:eastAsia="宋体" w:cs="Times New Roman"/>
                <w:sz w:val="24"/>
                <w:highlight w:val="none"/>
              </w:rPr>
              <w:t>分；</w:t>
            </w:r>
          </w:p>
          <w:p w14:paraId="3624E3C8">
            <w:pPr>
              <w:snapToGrid w:val="0"/>
              <w:jc w:val="left"/>
              <w:rPr>
                <w:rFonts w:ascii="Times New Roman" w:hAnsi="Times New Roman" w:eastAsia="宋体" w:cs="Times New Roman"/>
                <w:sz w:val="24"/>
                <w:highlight w:val="none"/>
              </w:rPr>
            </w:pPr>
            <w:r>
              <w:rPr>
                <w:rFonts w:ascii="Times New Roman" w:hAnsi="Times New Roman" w:eastAsia="宋体" w:cs="Times New Roman"/>
                <w:sz w:val="24"/>
                <w:highlight w:val="none"/>
              </w:rPr>
              <w:t>（3）项目</w:t>
            </w:r>
            <w:r>
              <w:rPr>
                <w:rFonts w:hint="eastAsia" w:ascii="Times New Roman" w:hAnsi="Times New Roman" w:eastAsia="宋体" w:cs="Times New Roman"/>
                <w:sz w:val="24"/>
                <w:highlight w:val="none"/>
              </w:rPr>
              <w:t>建设</w:t>
            </w:r>
            <w:r>
              <w:rPr>
                <w:rFonts w:ascii="Times New Roman" w:hAnsi="Times New Roman" w:eastAsia="宋体" w:cs="Times New Roman"/>
                <w:sz w:val="24"/>
                <w:highlight w:val="none"/>
              </w:rPr>
              <w:t>方案</w:t>
            </w:r>
            <w:r>
              <w:rPr>
                <w:rFonts w:hint="eastAsia" w:ascii="Times New Roman" w:hAnsi="Times New Roman" w:eastAsia="宋体" w:cs="Times New Roman"/>
                <w:sz w:val="24"/>
                <w:highlight w:val="none"/>
              </w:rPr>
              <w:t>简单，表述模糊，可行性较差的</w:t>
            </w:r>
            <w:r>
              <w:rPr>
                <w:rFonts w:ascii="Times New Roman" w:hAnsi="Times New Roman" w:eastAsia="宋体" w:cs="Times New Roman"/>
                <w:sz w:val="24"/>
                <w:highlight w:val="none"/>
              </w:rPr>
              <w:t>，得</w:t>
            </w:r>
            <w:r>
              <w:rPr>
                <w:rFonts w:hint="eastAsia" w:ascii="Times New Roman" w:hAnsi="Times New Roman" w:eastAsia="宋体" w:cs="Times New Roman"/>
                <w:sz w:val="24"/>
                <w:highlight w:val="none"/>
              </w:rPr>
              <w:t>1</w:t>
            </w:r>
            <w:r>
              <w:rPr>
                <w:rFonts w:ascii="Times New Roman" w:hAnsi="Times New Roman" w:eastAsia="宋体" w:cs="Times New Roman"/>
                <w:sz w:val="24"/>
                <w:highlight w:val="none"/>
              </w:rPr>
              <w:t>分；</w:t>
            </w:r>
          </w:p>
          <w:p w14:paraId="40432DFF">
            <w:pPr>
              <w:snapToGrid w:val="0"/>
              <w:jc w:val="left"/>
              <w:rPr>
                <w:rFonts w:ascii="Times New Roman" w:hAnsi="Times New Roman" w:eastAsia="宋体" w:cs="Times New Roman"/>
                <w:b/>
                <w:bCs/>
                <w:color w:val="000000"/>
                <w:sz w:val="24"/>
                <w:highlight w:val="none"/>
              </w:rPr>
            </w:pPr>
            <w:r>
              <w:rPr>
                <w:rFonts w:hint="eastAsia" w:ascii="Times New Roman" w:hAnsi="Times New Roman" w:eastAsia="宋体" w:cs="Times New Roman"/>
                <w:b/>
                <w:bCs/>
                <w:color w:val="000000"/>
                <w:sz w:val="24"/>
                <w:highlight w:val="none"/>
              </w:rPr>
              <w:t>未见阐述不得分。</w:t>
            </w:r>
          </w:p>
          <w:p w14:paraId="6C486E45">
            <w:pPr>
              <w:pBdr>
                <w:top w:val="none" w:color="000000" w:sz="0" w:space="0"/>
                <w:left w:val="none" w:color="000000" w:sz="0" w:space="0"/>
                <w:bottom w:val="none" w:color="000000" w:sz="0" w:space="0"/>
                <w:right w:val="none" w:color="000000" w:sz="0" w:space="0"/>
              </w:pBdr>
              <w:snapToGrid w:val="0"/>
              <w:jc w:val="left"/>
              <w:rPr>
                <w:rFonts w:ascii="宋体" w:hAnsi="宋体" w:eastAsia="宋体" w:cs="宋体"/>
                <w:kern w:val="0"/>
                <w:sz w:val="24"/>
                <w:highlight w:val="none"/>
              </w:rPr>
            </w:pPr>
          </w:p>
        </w:tc>
      </w:tr>
      <w:tr w14:paraId="2EE8B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6" w:hRule="atLeast"/>
        </w:trPr>
        <w:tc>
          <w:tcPr>
            <w:tcW w:w="1867" w:type="dxa"/>
            <w:vMerge w:val="continue"/>
            <w:noWrap/>
            <w:vAlign w:val="center"/>
          </w:tcPr>
          <w:p w14:paraId="762EE8D0">
            <w:pPr>
              <w:jc w:val="center"/>
              <w:rPr>
                <w:rFonts w:ascii="宋体" w:hAnsi="宋体" w:eastAsia="宋体" w:cs="宋体"/>
                <w:kern w:val="0"/>
                <w:sz w:val="24"/>
                <w:highlight w:val="none"/>
              </w:rPr>
            </w:pPr>
          </w:p>
        </w:tc>
        <w:tc>
          <w:tcPr>
            <w:tcW w:w="1753" w:type="dxa"/>
            <w:noWrap/>
            <w:vAlign w:val="center"/>
          </w:tcPr>
          <w:p w14:paraId="00A667B5">
            <w:pPr>
              <w:widowControl/>
              <w:jc w:val="center"/>
              <w:rPr>
                <w:rFonts w:ascii="宋体" w:hAnsi="宋体" w:eastAsia="宋体" w:cs="宋体"/>
                <w:kern w:val="0"/>
                <w:sz w:val="24"/>
                <w:szCs w:val="32"/>
                <w:highlight w:val="none"/>
              </w:rPr>
            </w:pPr>
            <w:r>
              <w:rPr>
                <w:rFonts w:hint="eastAsia" w:ascii="宋体" w:hAnsi="宋体" w:eastAsia="宋体" w:cs="宋体"/>
                <w:kern w:val="0"/>
                <w:sz w:val="24"/>
                <w:szCs w:val="32"/>
                <w:highlight w:val="none"/>
              </w:rPr>
              <w:t>后续服务</w:t>
            </w:r>
          </w:p>
          <w:p w14:paraId="0AE52CDA">
            <w:pPr>
              <w:widowControl/>
              <w:jc w:val="center"/>
              <w:rPr>
                <w:rFonts w:ascii="宋体" w:hAnsi="宋体" w:eastAsia="宋体" w:cs="宋体"/>
                <w:kern w:val="0"/>
                <w:sz w:val="24"/>
                <w:highlight w:val="none"/>
              </w:rPr>
            </w:pPr>
            <w:r>
              <w:rPr>
                <w:rFonts w:hint="eastAsia" w:ascii="宋体" w:hAnsi="宋体" w:eastAsia="宋体" w:cs="宋体"/>
                <w:kern w:val="0"/>
                <w:sz w:val="24"/>
                <w:szCs w:val="32"/>
                <w:highlight w:val="none"/>
              </w:rPr>
              <w:t>（6分）</w:t>
            </w:r>
          </w:p>
        </w:tc>
        <w:tc>
          <w:tcPr>
            <w:tcW w:w="5664" w:type="dxa"/>
            <w:vAlign w:val="center"/>
          </w:tcPr>
          <w:p w14:paraId="14F64D1D">
            <w:pPr>
              <w:jc w:val="left"/>
              <w:rPr>
                <w:rFonts w:ascii="宋体" w:hAnsi="宋体" w:eastAsia="宋体" w:cs="宋体"/>
                <w:kern w:val="0"/>
                <w:sz w:val="24"/>
                <w:szCs w:val="32"/>
                <w:highlight w:val="none"/>
              </w:rPr>
            </w:pPr>
            <w:r>
              <w:rPr>
                <w:rFonts w:hint="eastAsia" w:ascii="宋体" w:hAnsi="宋体" w:eastAsia="宋体" w:cs="宋体"/>
                <w:kern w:val="0"/>
                <w:sz w:val="24"/>
                <w:szCs w:val="32"/>
                <w:highlight w:val="none"/>
              </w:rPr>
              <w:t>后续服务方案具体措施得当、清晰，积极响应：</w:t>
            </w:r>
          </w:p>
          <w:p w14:paraId="47F90D11">
            <w:pPr>
              <w:ind w:firstLine="240"/>
              <w:jc w:val="left"/>
              <w:rPr>
                <w:rFonts w:ascii="宋体" w:hAnsi="宋体" w:eastAsia="宋体" w:cs="宋体"/>
                <w:kern w:val="0"/>
                <w:sz w:val="24"/>
                <w:szCs w:val="32"/>
                <w:highlight w:val="none"/>
              </w:rPr>
            </w:pPr>
            <w:r>
              <w:rPr>
                <w:rFonts w:ascii="Times New Roman" w:hAnsi="Times New Roman" w:eastAsia="宋体" w:cs="Times New Roman"/>
                <w:sz w:val="24"/>
                <w:highlight w:val="none"/>
              </w:rPr>
              <w:t>（1）</w:t>
            </w:r>
            <w:r>
              <w:rPr>
                <w:rFonts w:hint="eastAsia" w:ascii="宋体" w:hAnsi="宋体" w:eastAsia="宋体" w:cs="宋体"/>
                <w:kern w:val="0"/>
                <w:sz w:val="24"/>
                <w:szCs w:val="32"/>
                <w:highlight w:val="none"/>
              </w:rPr>
              <w:t>提出后续服务及方案合理可实施的，得</w:t>
            </w:r>
            <w:r>
              <w:rPr>
                <w:rFonts w:hint="eastAsia" w:ascii="Times New Roman" w:hAnsi="Times New Roman" w:eastAsia="宋体" w:cs="Times New Roman"/>
                <w:color w:val="000000"/>
                <w:kern w:val="0"/>
                <w:sz w:val="24"/>
                <w:szCs w:val="21"/>
                <w:highlight w:val="none"/>
              </w:rPr>
              <w:t>6</w:t>
            </w:r>
            <w:r>
              <w:rPr>
                <w:rFonts w:hint="eastAsia" w:ascii="宋体" w:hAnsi="宋体" w:eastAsia="宋体" w:cs="宋体"/>
                <w:kern w:val="0"/>
                <w:sz w:val="24"/>
                <w:szCs w:val="32"/>
                <w:highlight w:val="none"/>
              </w:rPr>
              <w:t>分；</w:t>
            </w:r>
          </w:p>
          <w:p w14:paraId="387717DC">
            <w:pPr>
              <w:ind w:firstLine="240"/>
              <w:jc w:val="left"/>
              <w:rPr>
                <w:rFonts w:ascii="宋体" w:hAnsi="宋体" w:eastAsia="宋体" w:cs="宋体"/>
                <w:kern w:val="0"/>
                <w:sz w:val="24"/>
                <w:szCs w:val="32"/>
                <w:highlight w:val="none"/>
              </w:rPr>
            </w:pPr>
            <w:r>
              <w:rPr>
                <w:rFonts w:ascii="Times New Roman" w:hAnsi="Times New Roman" w:eastAsia="宋体" w:cs="Times New Roman"/>
                <w:sz w:val="24"/>
                <w:highlight w:val="none"/>
              </w:rPr>
              <w:t>（2）</w:t>
            </w:r>
            <w:r>
              <w:rPr>
                <w:rFonts w:hint="eastAsia" w:ascii="宋体" w:hAnsi="宋体" w:eastAsia="宋体" w:cs="宋体"/>
                <w:kern w:val="0"/>
                <w:sz w:val="24"/>
                <w:szCs w:val="32"/>
                <w:highlight w:val="none"/>
              </w:rPr>
              <w:t>提出后续服务及方案较合理、较具有实施性的，得</w:t>
            </w:r>
            <w:r>
              <w:rPr>
                <w:rFonts w:hint="eastAsia" w:ascii="Times New Roman" w:hAnsi="Times New Roman" w:eastAsia="宋体" w:cs="Times New Roman"/>
                <w:color w:val="000000"/>
                <w:kern w:val="0"/>
                <w:sz w:val="24"/>
                <w:szCs w:val="21"/>
                <w:highlight w:val="none"/>
              </w:rPr>
              <w:t>3</w:t>
            </w:r>
            <w:r>
              <w:rPr>
                <w:rFonts w:hint="eastAsia" w:ascii="宋体" w:hAnsi="宋体" w:eastAsia="宋体" w:cs="宋体"/>
                <w:kern w:val="0"/>
                <w:sz w:val="24"/>
                <w:szCs w:val="32"/>
                <w:highlight w:val="none"/>
              </w:rPr>
              <w:t>分；</w:t>
            </w:r>
          </w:p>
          <w:p w14:paraId="4BDB2A70">
            <w:pPr>
              <w:ind w:firstLine="240"/>
              <w:jc w:val="left"/>
              <w:rPr>
                <w:rFonts w:ascii="宋体" w:hAnsi="宋体" w:eastAsia="宋体" w:cs="宋体"/>
                <w:kern w:val="0"/>
                <w:sz w:val="24"/>
                <w:szCs w:val="32"/>
                <w:highlight w:val="none"/>
              </w:rPr>
            </w:pPr>
            <w:r>
              <w:rPr>
                <w:rFonts w:ascii="Times New Roman" w:hAnsi="Times New Roman" w:eastAsia="宋体" w:cs="Times New Roman"/>
                <w:sz w:val="24"/>
                <w:highlight w:val="none"/>
              </w:rPr>
              <w:t>（3）</w:t>
            </w:r>
            <w:r>
              <w:rPr>
                <w:rFonts w:hint="eastAsia" w:ascii="宋体" w:hAnsi="宋体" w:eastAsia="宋体" w:cs="宋体"/>
                <w:kern w:val="0"/>
                <w:sz w:val="24"/>
                <w:szCs w:val="32"/>
                <w:highlight w:val="none"/>
              </w:rPr>
              <w:t>提出后续服务及方案内容描述简单的，得</w:t>
            </w:r>
            <w:r>
              <w:rPr>
                <w:rFonts w:hint="eastAsia" w:ascii="Times New Roman" w:hAnsi="Times New Roman" w:eastAsia="宋体" w:cs="Times New Roman"/>
                <w:color w:val="000000"/>
                <w:kern w:val="0"/>
                <w:sz w:val="24"/>
                <w:szCs w:val="21"/>
                <w:highlight w:val="none"/>
              </w:rPr>
              <w:t>1</w:t>
            </w:r>
            <w:r>
              <w:rPr>
                <w:rFonts w:hint="eastAsia" w:ascii="宋体" w:hAnsi="宋体" w:eastAsia="宋体" w:cs="宋体"/>
                <w:kern w:val="0"/>
                <w:sz w:val="24"/>
                <w:szCs w:val="32"/>
                <w:highlight w:val="none"/>
              </w:rPr>
              <w:t>分；</w:t>
            </w:r>
          </w:p>
          <w:p w14:paraId="31F7EA86">
            <w:pPr>
              <w:snapToGrid w:val="0"/>
              <w:jc w:val="left"/>
              <w:rPr>
                <w:rFonts w:ascii="Times New Roman" w:hAnsi="Times New Roman" w:eastAsia="宋体" w:cs="Times New Roman"/>
                <w:b/>
                <w:bCs/>
                <w:color w:val="000000"/>
                <w:sz w:val="24"/>
                <w:highlight w:val="none"/>
              </w:rPr>
            </w:pPr>
            <w:r>
              <w:rPr>
                <w:rFonts w:hint="eastAsia" w:ascii="Times New Roman" w:hAnsi="Times New Roman" w:eastAsia="宋体" w:cs="Times New Roman"/>
                <w:b/>
                <w:bCs/>
                <w:color w:val="000000"/>
                <w:sz w:val="24"/>
                <w:highlight w:val="none"/>
              </w:rPr>
              <w:t>未见阐述不得分。</w:t>
            </w:r>
          </w:p>
          <w:p w14:paraId="0EECD65F">
            <w:pPr>
              <w:widowControl/>
              <w:ind w:firstLine="240"/>
              <w:jc w:val="left"/>
              <w:rPr>
                <w:rFonts w:ascii="宋体" w:hAnsi="宋体" w:eastAsia="宋体" w:cs="宋体"/>
                <w:kern w:val="0"/>
                <w:sz w:val="24"/>
                <w:highlight w:val="none"/>
              </w:rPr>
            </w:pPr>
          </w:p>
        </w:tc>
      </w:tr>
      <w:tr w14:paraId="1A6FF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6" w:hRule="atLeast"/>
        </w:trPr>
        <w:tc>
          <w:tcPr>
            <w:tcW w:w="1867" w:type="dxa"/>
            <w:vMerge w:val="continue"/>
            <w:noWrap/>
            <w:vAlign w:val="center"/>
          </w:tcPr>
          <w:p w14:paraId="31AC3A76">
            <w:pPr>
              <w:widowControl/>
              <w:jc w:val="center"/>
              <w:rPr>
                <w:rFonts w:ascii="宋体" w:hAnsi="宋体" w:eastAsia="宋体" w:cs="宋体"/>
                <w:kern w:val="0"/>
                <w:sz w:val="24"/>
                <w:szCs w:val="32"/>
                <w:highlight w:val="none"/>
              </w:rPr>
            </w:pPr>
          </w:p>
        </w:tc>
        <w:tc>
          <w:tcPr>
            <w:tcW w:w="1753" w:type="dxa"/>
            <w:noWrap/>
            <w:vAlign w:val="center"/>
          </w:tcPr>
          <w:p w14:paraId="374B7F6F">
            <w:pPr>
              <w:widowControl/>
              <w:jc w:val="center"/>
              <w:rPr>
                <w:rFonts w:ascii="宋体" w:hAnsi="宋体" w:eastAsia="宋体" w:cs="宋体"/>
                <w:kern w:val="0"/>
                <w:sz w:val="24"/>
                <w:szCs w:val="32"/>
                <w:highlight w:val="none"/>
              </w:rPr>
            </w:pPr>
            <w:r>
              <w:rPr>
                <w:rFonts w:hint="eastAsia" w:ascii="宋体" w:hAnsi="宋体" w:eastAsia="宋体" w:cs="宋体"/>
                <w:kern w:val="0"/>
                <w:sz w:val="24"/>
                <w:szCs w:val="32"/>
                <w:highlight w:val="none"/>
              </w:rPr>
              <w:t>运行维护方案（6分）</w:t>
            </w:r>
          </w:p>
        </w:tc>
        <w:tc>
          <w:tcPr>
            <w:tcW w:w="5664" w:type="dxa"/>
            <w:vAlign w:val="center"/>
          </w:tcPr>
          <w:p w14:paraId="66649280">
            <w:pPr>
              <w:ind w:firstLine="240"/>
              <w:jc w:val="left"/>
              <w:rPr>
                <w:rFonts w:ascii="宋体" w:hAnsi="宋体" w:eastAsia="宋体" w:cs="宋体"/>
                <w:kern w:val="0"/>
                <w:sz w:val="24"/>
                <w:szCs w:val="32"/>
                <w:highlight w:val="none"/>
              </w:rPr>
            </w:pPr>
            <w:r>
              <w:rPr>
                <w:rFonts w:ascii="Times New Roman" w:hAnsi="Times New Roman" w:eastAsia="宋体" w:cs="Times New Roman"/>
                <w:sz w:val="24"/>
                <w:highlight w:val="none"/>
              </w:rPr>
              <w:t>（1）</w:t>
            </w:r>
            <w:r>
              <w:rPr>
                <w:rFonts w:hint="eastAsia" w:ascii="宋体" w:hAnsi="宋体" w:eastAsia="宋体" w:cs="宋体"/>
                <w:kern w:val="0"/>
                <w:sz w:val="24"/>
                <w:szCs w:val="32"/>
                <w:highlight w:val="none"/>
              </w:rPr>
              <w:t>投入设备运行维护方案完整、合理，具备可行性的得</w:t>
            </w:r>
            <w:r>
              <w:rPr>
                <w:rFonts w:hint="eastAsia" w:ascii="Times New Roman" w:hAnsi="Times New Roman" w:eastAsia="宋体" w:cs="Times New Roman"/>
                <w:color w:val="000000"/>
                <w:kern w:val="0"/>
                <w:sz w:val="24"/>
                <w:szCs w:val="21"/>
                <w:highlight w:val="none"/>
              </w:rPr>
              <w:t>6</w:t>
            </w:r>
            <w:r>
              <w:rPr>
                <w:rFonts w:hint="eastAsia" w:ascii="宋体" w:hAnsi="宋体" w:eastAsia="宋体" w:cs="宋体"/>
                <w:kern w:val="0"/>
                <w:sz w:val="24"/>
                <w:szCs w:val="32"/>
                <w:highlight w:val="none"/>
              </w:rPr>
              <w:t>分；</w:t>
            </w:r>
          </w:p>
          <w:p w14:paraId="3B5515C9">
            <w:pPr>
              <w:ind w:firstLine="240"/>
              <w:jc w:val="left"/>
              <w:rPr>
                <w:rFonts w:ascii="宋体" w:hAnsi="宋体" w:eastAsia="宋体" w:cs="宋体"/>
                <w:kern w:val="0"/>
                <w:sz w:val="24"/>
                <w:szCs w:val="32"/>
                <w:highlight w:val="none"/>
              </w:rPr>
            </w:pPr>
            <w:r>
              <w:rPr>
                <w:rFonts w:ascii="Times New Roman" w:hAnsi="Times New Roman" w:eastAsia="宋体" w:cs="Times New Roman"/>
                <w:sz w:val="24"/>
                <w:highlight w:val="none"/>
              </w:rPr>
              <w:t>（2）</w:t>
            </w:r>
            <w:r>
              <w:rPr>
                <w:rFonts w:hint="eastAsia" w:ascii="宋体" w:hAnsi="宋体" w:eastAsia="宋体" w:cs="宋体"/>
                <w:kern w:val="0"/>
                <w:sz w:val="24"/>
                <w:szCs w:val="32"/>
                <w:highlight w:val="none"/>
              </w:rPr>
              <w:t>投入设备运行维护方案基本完整、合理，基本具备可行性的得3分；</w:t>
            </w:r>
          </w:p>
          <w:p w14:paraId="4A319F54">
            <w:pPr>
              <w:ind w:firstLine="240"/>
              <w:jc w:val="left"/>
              <w:rPr>
                <w:rFonts w:ascii="宋体" w:hAnsi="宋体" w:eastAsia="宋体" w:cs="宋体"/>
                <w:kern w:val="0"/>
                <w:sz w:val="24"/>
                <w:szCs w:val="32"/>
                <w:highlight w:val="none"/>
              </w:rPr>
            </w:pPr>
            <w:r>
              <w:rPr>
                <w:rFonts w:ascii="Times New Roman" w:hAnsi="Times New Roman" w:eastAsia="宋体" w:cs="Times New Roman"/>
                <w:sz w:val="24"/>
                <w:highlight w:val="none"/>
              </w:rPr>
              <w:t>（3）</w:t>
            </w:r>
            <w:r>
              <w:rPr>
                <w:rFonts w:hint="eastAsia" w:ascii="宋体" w:hAnsi="宋体" w:eastAsia="宋体" w:cs="宋体"/>
                <w:kern w:val="0"/>
                <w:sz w:val="24"/>
                <w:szCs w:val="32"/>
                <w:highlight w:val="none"/>
              </w:rPr>
              <w:t>投入设备运行维护方案明显欠缺，较合理的得</w:t>
            </w:r>
            <w:r>
              <w:rPr>
                <w:rFonts w:hint="eastAsia" w:ascii="Times New Roman" w:hAnsi="Times New Roman" w:eastAsia="宋体" w:cs="Times New Roman"/>
                <w:color w:val="000000"/>
                <w:kern w:val="0"/>
                <w:sz w:val="24"/>
                <w:szCs w:val="21"/>
                <w:highlight w:val="none"/>
              </w:rPr>
              <w:t>1</w:t>
            </w:r>
            <w:r>
              <w:rPr>
                <w:rFonts w:hint="eastAsia" w:ascii="宋体" w:hAnsi="宋体" w:eastAsia="宋体" w:cs="宋体"/>
                <w:kern w:val="0"/>
                <w:sz w:val="24"/>
                <w:szCs w:val="32"/>
                <w:highlight w:val="none"/>
              </w:rPr>
              <w:t>分。</w:t>
            </w:r>
          </w:p>
          <w:p w14:paraId="6CBA3527">
            <w:pPr>
              <w:snapToGrid w:val="0"/>
              <w:jc w:val="left"/>
              <w:rPr>
                <w:rFonts w:ascii="Times New Roman" w:hAnsi="Times New Roman" w:eastAsia="宋体" w:cs="Times New Roman"/>
                <w:b/>
                <w:bCs/>
                <w:color w:val="000000"/>
                <w:sz w:val="24"/>
                <w:highlight w:val="none"/>
              </w:rPr>
            </w:pPr>
            <w:r>
              <w:rPr>
                <w:rFonts w:hint="eastAsia" w:ascii="Times New Roman" w:hAnsi="Times New Roman" w:eastAsia="宋体" w:cs="Times New Roman"/>
                <w:b/>
                <w:bCs/>
                <w:color w:val="000000"/>
                <w:sz w:val="24"/>
                <w:highlight w:val="none"/>
              </w:rPr>
              <w:t>未见阐述不得分。</w:t>
            </w:r>
          </w:p>
          <w:p w14:paraId="3E95F8A1">
            <w:pPr>
              <w:widowControl/>
              <w:ind w:firstLine="240"/>
              <w:jc w:val="left"/>
              <w:rPr>
                <w:rFonts w:ascii="宋体" w:hAnsi="宋体" w:eastAsia="宋体" w:cs="宋体"/>
                <w:kern w:val="0"/>
                <w:sz w:val="24"/>
                <w:szCs w:val="32"/>
                <w:highlight w:val="none"/>
              </w:rPr>
            </w:pPr>
          </w:p>
        </w:tc>
      </w:tr>
      <w:tr w14:paraId="58C18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6" w:hRule="atLeast"/>
        </w:trPr>
        <w:tc>
          <w:tcPr>
            <w:tcW w:w="1867" w:type="dxa"/>
            <w:vMerge w:val="restart"/>
            <w:noWrap/>
            <w:vAlign w:val="center"/>
          </w:tcPr>
          <w:p w14:paraId="551D98FC">
            <w:pPr>
              <w:widowControl/>
              <w:jc w:val="center"/>
              <w:rPr>
                <w:rFonts w:ascii="宋体" w:hAnsi="宋体" w:eastAsia="宋体" w:cs="宋体"/>
                <w:kern w:val="0"/>
                <w:sz w:val="24"/>
                <w:highlight w:val="none"/>
              </w:rPr>
            </w:pPr>
            <w:r>
              <w:rPr>
                <w:rFonts w:hint="eastAsia" w:ascii="宋体" w:hAnsi="宋体" w:eastAsia="宋体" w:cs="宋体"/>
                <w:kern w:val="0"/>
                <w:sz w:val="24"/>
                <w:highlight w:val="none"/>
              </w:rPr>
              <w:t>商务分</w:t>
            </w:r>
          </w:p>
          <w:p w14:paraId="6B82DDA0">
            <w:pPr>
              <w:widowControl/>
              <w:jc w:val="center"/>
              <w:rPr>
                <w:rFonts w:ascii="宋体" w:hAnsi="宋体" w:eastAsia="宋体" w:cs="宋体"/>
                <w:kern w:val="0"/>
                <w:sz w:val="24"/>
                <w:highlight w:val="none"/>
              </w:rPr>
            </w:pPr>
            <w:r>
              <w:rPr>
                <w:rFonts w:hint="eastAsia" w:ascii="宋体" w:hAnsi="宋体" w:eastAsia="宋体" w:cs="宋体"/>
                <w:kern w:val="0"/>
                <w:sz w:val="24"/>
                <w:highlight w:val="none"/>
              </w:rPr>
              <w:t>（42分）</w:t>
            </w:r>
          </w:p>
        </w:tc>
        <w:tc>
          <w:tcPr>
            <w:tcW w:w="1753" w:type="dxa"/>
            <w:noWrap/>
            <w:vAlign w:val="center"/>
          </w:tcPr>
          <w:p w14:paraId="167D3A6A">
            <w:pPr>
              <w:spacing w:before="1"/>
              <w:ind w:left="107"/>
              <w:jc w:val="center"/>
              <w:rPr>
                <w:rFonts w:ascii="宋体" w:hAnsi="宋体" w:eastAsia="宋体" w:cs="宋体"/>
                <w:kern w:val="0"/>
                <w:sz w:val="24"/>
                <w:highlight w:val="none"/>
              </w:rPr>
            </w:pPr>
            <w:r>
              <w:rPr>
                <w:rFonts w:hint="eastAsia" w:ascii="宋体" w:hAnsi="宋体" w:eastAsia="宋体" w:cs="宋体"/>
                <w:kern w:val="0"/>
                <w:sz w:val="24"/>
                <w:highlight w:val="none"/>
              </w:rPr>
              <w:t>综合实力</w:t>
            </w:r>
          </w:p>
          <w:p w14:paraId="5D36AE93">
            <w:pPr>
              <w:widowControl/>
              <w:jc w:val="center"/>
              <w:rPr>
                <w:rFonts w:ascii="宋体" w:hAnsi="宋体" w:eastAsia="宋体" w:cs="宋体"/>
                <w:kern w:val="0"/>
                <w:sz w:val="24"/>
                <w:highlight w:val="none"/>
              </w:rPr>
            </w:pPr>
            <w:r>
              <w:rPr>
                <w:rFonts w:hint="eastAsia" w:ascii="宋体" w:hAnsi="宋体" w:eastAsia="宋体" w:cs="宋体"/>
                <w:kern w:val="0"/>
                <w:sz w:val="24"/>
                <w:highlight w:val="none"/>
              </w:rPr>
              <w:t>（</w:t>
            </w:r>
            <w:r>
              <w:rPr>
                <w:rFonts w:hint="eastAsia" w:ascii="宋体" w:hAnsi="宋体" w:eastAsia="宋体" w:cs="宋体"/>
                <w:kern w:val="0"/>
                <w:sz w:val="24"/>
                <w:szCs w:val="32"/>
                <w:highlight w:val="none"/>
              </w:rPr>
              <w:t>13</w:t>
            </w:r>
            <w:r>
              <w:rPr>
                <w:rFonts w:hint="eastAsia" w:ascii="宋体" w:hAnsi="宋体" w:eastAsia="宋体" w:cs="宋体"/>
                <w:kern w:val="0"/>
                <w:sz w:val="24"/>
                <w:highlight w:val="none"/>
              </w:rPr>
              <w:t>分）</w:t>
            </w:r>
          </w:p>
        </w:tc>
        <w:tc>
          <w:tcPr>
            <w:tcW w:w="5664" w:type="dxa"/>
            <w:vAlign w:val="center"/>
          </w:tcPr>
          <w:p w14:paraId="15D434D7">
            <w:pPr>
              <w:tabs>
                <w:tab w:val="center" w:pos="4153"/>
                <w:tab w:val="right" w:pos="8306"/>
              </w:tabs>
              <w:ind w:firstLine="480"/>
              <w:rPr>
                <w:rFonts w:ascii="Times New Roman" w:hAnsi="Times New Roman" w:eastAsia="宋体" w:cs="Times New Roman"/>
                <w:kern w:val="0"/>
                <w:sz w:val="24"/>
                <w:szCs w:val="21"/>
                <w:highlight w:val="none"/>
              </w:rPr>
            </w:pPr>
          </w:p>
          <w:p w14:paraId="08FBE41E">
            <w:pPr>
              <w:pBdr>
                <w:top w:val="none" w:color="000000" w:sz="0" w:space="0"/>
                <w:left w:val="none" w:color="000000" w:sz="0" w:space="0"/>
                <w:bottom w:val="none" w:color="000000" w:sz="0" w:space="0"/>
                <w:right w:val="none" w:color="000000" w:sz="0" w:space="0"/>
              </w:pBdr>
              <w:snapToGrid w:val="0"/>
              <w:ind w:firstLine="480" w:firstLineChars="200"/>
              <w:jc w:val="left"/>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1、供应商</w:t>
            </w:r>
            <w:r>
              <w:rPr>
                <w:rFonts w:ascii="Times New Roman" w:hAnsi="Times New Roman" w:eastAsia="宋体" w:cs="Times New Roman"/>
                <w:sz w:val="24"/>
                <w:highlight w:val="none"/>
              </w:rPr>
              <w:t>提供的环境</w:t>
            </w:r>
            <w:r>
              <w:rPr>
                <w:rFonts w:hint="eastAsia" w:ascii="Times New Roman" w:hAnsi="Times New Roman" w:eastAsia="宋体" w:cs="Times New Roman"/>
                <w:sz w:val="24"/>
                <w:highlight w:val="none"/>
              </w:rPr>
              <w:t>智慧监管大数据</w:t>
            </w:r>
            <w:r>
              <w:rPr>
                <w:rFonts w:ascii="Times New Roman" w:hAnsi="Times New Roman" w:eastAsia="宋体" w:cs="Times New Roman"/>
                <w:sz w:val="24"/>
                <w:highlight w:val="none"/>
              </w:rPr>
              <w:t>相关产品需能够接入水、气等各类生态环境数据；支持通过 HJ212 协议对接各类监测设施；能够完成与多级各类生态环境平台对接。</w:t>
            </w:r>
            <w:r>
              <w:rPr>
                <w:rFonts w:hint="eastAsia" w:ascii="Times New Roman" w:hAnsi="Times New Roman" w:eastAsia="宋体" w:cs="Times New Roman"/>
                <w:sz w:val="24"/>
                <w:highlight w:val="none"/>
              </w:rPr>
              <w:t>提供承诺函</w:t>
            </w:r>
            <w:r>
              <w:rPr>
                <w:rFonts w:ascii="Times New Roman" w:hAnsi="Times New Roman" w:eastAsia="宋体" w:cs="Times New Roman"/>
                <w:sz w:val="24"/>
                <w:highlight w:val="none"/>
              </w:rPr>
              <w:t>得</w:t>
            </w:r>
            <w:r>
              <w:rPr>
                <w:rFonts w:hint="eastAsia" w:ascii="Times New Roman" w:hAnsi="Times New Roman" w:eastAsia="宋体" w:cs="Times New Roman"/>
                <w:sz w:val="24"/>
                <w:highlight w:val="none"/>
              </w:rPr>
              <w:t>3</w:t>
            </w:r>
            <w:r>
              <w:rPr>
                <w:rFonts w:ascii="Times New Roman" w:hAnsi="Times New Roman" w:eastAsia="宋体" w:cs="Times New Roman"/>
                <w:sz w:val="24"/>
                <w:highlight w:val="none"/>
              </w:rPr>
              <w:t>分</w:t>
            </w:r>
            <w:r>
              <w:rPr>
                <w:rFonts w:hint="eastAsia" w:ascii="Times New Roman" w:hAnsi="Times New Roman" w:eastAsia="宋体" w:cs="Times New Roman"/>
                <w:sz w:val="24"/>
                <w:highlight w:val="none"/>
              </w:rPr>
              <w:t>。</w:t>
            </w:r>
            <w:r>
              <w:rPr>
                <w:rFonts w:ascii="Times New Roman" w:hAnsi="Times New Roman" w:eastAsia="宋体" w:cs="Times New Roman"/>
                <w:sz w:val="24"/>
                <w:highlight w:val="none"/>
              </w:rPr>
              <w:t>未提供的不得分</w:t>
            </w:r>
            <w:r>
              <w:rPr>
                <w:rFonts w:hint="eastAsia" w:ascii="Times New Roman" w:hAnsi="Times New Roman" w:eastAsia="宋体" w:cs="Times New Roman"/>
                <w:sz w:val="24"/>
                <w:highlight w:val="none"/>
              </w:rPr>
              <w:t>）</w:t>
            </w:r>
          </w:p>
          <w:p w14:paraId="426AF55E">
            <w:pPr>
              <w:pBdr>
                <w:top w:val="none" w:color="000000" w:sz="0" w:space="0"/>
                <w:left w:val="none" w:color="000000" w:sz="0" w:space="0"/>
                <w:bottom w:val="none" w:color="000000" w:sz="0" w:space="0"/>
                <w:right w:val="none" w:color="000000" w:sz="0" w:space="0"/>
              </w:pBdr>
              <w:snapToGrid w:val="0"/>
              <w:ind w:firstLine="480" w:firstLineChars="200"/>
              <w:jc w:val="left"/>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2、投标人提供与本次项目相关的计算机软件著作权证书，以上每具备1个得2分，本项最高得10分。（提供证书原件扫描件，</w:t>
            </w:r>
            <w:r>
              <w:rPr>
                <w:rFonts w:ascii="Times New Roman" w:hAnsi="Times New Roman" w:eastAsia="宋体" w:cs="Times New Roman"/>
                <w:sz w:val="24"/>
                <w:highlight w:val="none"/>
              </w:rPr>
              <w:t>未提供的不得分</w:t>
            </w:r>
            <w:r>
              <w:rPr>
                <w:rFonts w:hint="eastAsia" w:ascii="Times New Roman" w:hAnsi="Times New Roman" w:eastAsia="宋体" w:cs="Times New Roman"/>
                <w:sz w:val="24"/>
                <w:highlight w:val="none"/>
              </w:rPr>
              <w:t>）</w:t>
            </w:r>
          </w:p>
          <w:p w14:paraId="1C53DFE8">
            <w:pPr>
              <w:pStyle w:val="5"/>
              <w:ind w:left="0"/>
              <w:rPr>
                <w:highlight w:val="none"/>
              </w:rPr>
            </w:pPr>
          </w:p>
        </w:tc>
      </w:tr>
      <w:tr w14:paraId="3DC0C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6" w:hRule="atLeast"/>
        </w:trPr>
        <w:tc>
          <w:tcPr>
            <w:tcW w:w="1867" w:type="dxa"/>
            <w:vMerge w:val="continue"/>
            <w:noWrap/>
            <w:vAlign w:val="center"/>
          </w:tcPr>
          <w:p w14:paraId="13B43D73">
            <w:pPr>
              <w:widowControl/>
              <w:jc w:val="center"/>
              <w:rPr>
                <w:rFonts w:ascii="宋体" w:hAnsi="宋体" w:eastAsia="宋体" w:cs="宋体"/>
                <w:kern w:val="0"/>
                <w:sz w:val="24"/>
                <w:highlight w:val="none"/>
              </w:rPr>
            </w:pPr>
          </w:p>
        </w:tc>
        <w:tc>
          <w:tcPr>
            <w:tcW w:w="1753" w:type="dxa"/>
            <w:noWrap/>
            <w:vAlign w:val="center"/>
          </w:tcPr>
          <w:p w14:paraId="04A62A51">
            <w:pPr>
              <w:widowControl/>
              <w:jc w:val="center"/>
              <w:rPr>
                <w:rFonts w:ascii="宋体" w:hAnsi="宋体" w:eastAsia="宋体" w:cs="宋体"/>
                <w:kern w:val="0"/>
                <w:sz w:val="24"/>
                <w:highlight w:val="none"/>
              </w:rPr>
            </w:pPr>
            <w:r>
              <w:rPr>
                <w:rFonts w:hint="eastAsia" w:ascii="宋体" w:hAnsi="宋体" w:eastAsia="宋体" w:cs="宋体"/>
                <w:kern w:val="0"/>
                <w:sz w:val="24"/>
                <w:highlight w:val="none"/>
              </w:rPr>
              <w:t>企业设备投入能力</w:t>
            </w:r>
            <w:r>
              <w:rPr>
                <w:rFonts w:hint="eastAsia" w:ascii="宋体" w:hAnsi="宋体" w:eastAsia="宋体" w:cs="宋体"/>
                <w:kern w:val="0"/>
                <w:sz w:val="24"/>
                <w:szCs w:val="32"/>
                <w:highlight w:val="none"/>
              </w:rPr>
              <w:t>（7分）</w:t>
            </w:r>
          </w:p>
        </w:tc>
        <w:tc>
          <w:tcPr>
            <w:tcW w:w="5664" w:type="dxa"/>
            <w:vAlign w:val="center"/>
          </w:tcPr>
          <w:p w14:paraId="75B2081D">
            <w:pPr>
              <w:numPr>
                <w:ilvl w:val="-1"/>
                <w:numId w:val="0"/>
              </w:numPr>
              <w:pBdr>
                <w:top w:val="none" w:color="000000" w:sz="0" w:space="0"/>
                <w:left w:val="none" w:color="000000" w:sz="0" w:space="0"/>
                <w:bottom w:val="none" w:color="000000" w:sz="0" w:space="0"/>
                <w:right w:val="none" w:color="000000" w:sz="0" w:space="0"/>
              </w:pBdr>
              <w:snapToGrid w:val="0"/>
              <w:spacing w:line="240" w:lineRule="auto"/>
              <w:ind w:firstLine="480" w:firstLineChars="200"/>
              <w:jc w:val="left"/>
              <w:rPr>
                <w:rFonts w:ascii="Times New Roman" w:hAnsi="Times New Roman" w:eastAsia="宋体" w:cs="Times New Roman"/>
                <w:kern w:val="2"/>
                <w:sz w:val="24"/>
                <w:highlight w:val="none"/>
              </w:rPr>
            </w:pPr>
            <w:r>
              <w:rPr>
                <w:rFonts w:ascii="Times New Roman" w:hAnsi="Times New Roman" w:eastAsia="宋体" w:cs="Times New Roman"/>
                <w:kern w:val="2"/>
                <w:sz w:val="24"/>
                <w:szCs w:val="24"/>
                <w:highlight w:val="none"/>
                <w:lang w:val="en-US" w:eastAsia="zh-CN" w:bidi="ar-SA"/>
              </w:rPr>
              <w:t>1</w:t>
            </w:r>
            <w:r>
              <w:rPr>
                <w:rFonts w:hint="eastAsia" w:ascii="Times New Roman" w:hAnsi="Times New Roman" w:eastAsia="宋体" w:cs="Times New Roman"/>
                <w:sz w:val="24"/>
                <w:highlight w:val="none"/>
              </w:rPr>
              <w:t>、</w:t>
            </w:r>
            <w:r>
              <w:rPr>
                <w:rFonts w:hint="default" w:ascii="Times New Roman" w:hAnsi="Times New Roman" w:eastAsia="宋体" w:cs="Times New Roman"/>
                <w:kern w:val="2"/>
                <w:sz w:val="24"/>
                <w:highlight w:val="none"/>
              </w:rPr>
              <w:t>供应商具备VOCs走航监测车的，每具备一辆走航车得3分。本项最高得3分。</w:t>
            </w:r>
          </w:p>
          <w:p w14:paraId="49EE448F">
            <w:pPr>
              <w:numPr>
                <w:ilvl w:val="-1"/>
                <w:numId w:val="0"/>
              </w:numPr>
              <w:pBdr>
                <w:top w:val="none" w:color="000000" w:sz="0" w:space="0"/>
                <w:left w:val="none" w:color="000000" w:sz="0" w:space="0"/>
                <w:bottom w:val="none" w:color="000000" w:sz="0" w:space="0"/>
                <w:right w:val="none" w:color="000000" w:sz="0" w:space="0"/>
              </w:pBdr>
              <w:snapToGrid w:val="0"/>
              <w:spacing w:line="240" w:lineRule="auto"/>
              <w:ind w:firstLine="480" w:firstLineChars="200"/>
              <w:jc w:val="left"/>
              <w:rPr>
                <w:rFonts w:ascii="Times New Roman" w:hAnsi="Times New Roman" w:eastAsia="宋体" w:cs="Times New Roman"/>
                <w:kern w:val="2"/>
                <w:sz w:val="24"/>
                <w:highlight w:val="none"/>
              </w:rPr>
            </w:pPr>
            <w:r>
              <w:rPr>
                <w:rFonts w:ascii="Times New Roman" w:hAnsi="Times New Roman" w:eastAsia="宋体" w:cs="Times New Roman"/>
                <w:kern w:val="2"/>
                <w:sz w:val="24"/>
                <w:szCs w:val="24"/>
                <w:highlight w:val="none"/>
                <w:lang w:val="en-US" w:eastAsia="zh-CN" w:bidi="ar-SA"/>
              </w:rPr>
              <w:t>2</w:t>
            </w:r>
            <w:r>
              <w:rPr>
                <w:rFonts w:hint="eastAsia" w:ascii="Times New Roman" w:hAnsi="Times New Roman" w:eastAsia="宋体" w:cs="Times New Roman"/>
                <w:sz w:val="24"/>
                <w:highlight w:val="none"/>
              </w:rPr>
              <w:t>、</w:t>
            </w:r>
            <w:r>
              <w:rPr>
                <w:rFonts w:hint="default" w:ascii="Times New Roman" w:hAnsi="Times New Roman" w:eastAsia="宋体" w:cs="Times New Roman"/>
                <w:kern w:val="2"/>
                <w:sz w:val="24"/>
                <w:highlight w:val="none"/>
              </w:rPr>
              <w:t>供应商具备VOCs便携式监测设备的，每具备一套得2分。本项最高得4分。</w:t>
            </w:r>
          </w:p>
          <w:p w14:paraId="54C8FDE3">
            <w:pPr>
              <w:tabs>
                <w:tab w:val="center" w:pos="4153"/>
                <w:tab w:val="right" w:pos="8306"/>
              </w:tabs>
              <w:ind w:firstLine="480"/>
              <w:rPr>
                <w:rFonts w:ascii="Times New Roman" w:hAnsi="Times New Roman" w:eastAsia="宋体" w:cs="Times New Roman"/>
                <w:kern w:val="0"/>
                <w:sz w:val="24"/>
                <w:szCs w:val="21"/>
                <w:highlight w:val="none"/>
              </w:rPr>
            </w:pPr>
            <w:r>
              <w:rPr>
                <w:rFonts w:hint="eastAsia" w:ascii="Times New Roman" w:hAnsi="Times New Roman" w:eastAsia="宋体" w:cs="Times New Roman"/>
                <w:b/>
                <w:bCs/>
                <w:sz w:val="22"/>
                <w:szCs w:val="28"/>
                <w:highlight w:val="none"/>
              </w:rPr>
              <w:t>注：投标文件中提供自有设备购置发票或租赁合同及租赁发票原件扫描件并加盖投标人公章，否则不得分。</w:t>
            </w:r>
          </w:p>
        </w:tc>
      </w:tr>
      <w:tr w14:paraId="7E46B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4" w:hRule="atLeast"/>
        </w:trPr>
        <w:tc>
          <w:tcPr>
            <w:tcW w:w="1867" w:type="dxa"/>
            <w:vMerge w:val="continue"/>
            <w:noWrap/>
            <w:vAlign w:val="center"/>
          </w:tcPr>
          <w:p w14:paraId="26EFF56A">
            <w:pPr>
              <w:widowControl/>
              <w:jc w:val="center"/>
              <w:rPr>
                <w:rFonts w:ascii="宋体" w:hAnsi="宋体" w:eastAsia="宋体" w:cs="宋体"/>
                <w:kern w:val="0"/>
                <w:sz w:val="24"/>
                <w:highlight w:val="none"/>
              </w:rPr>
            </w:pPr>
          </w:p>
        </w:tc>
        <w:tc>
          <w:tcPr>
            <w:tcW w:w="1753" w:type="dxa"/>
            <w:noWrap/>
            <w:vAlign w:val="center"/>
          </w:tcPr>
          <w:p w14:paraId="5EA6BC39">
            <w:pPr>
              <w:jc w:val="center"/>
              <w:rPr>
                <w:rFonts w:ascii="宋体" w:hAnsi="宋体" w:eastAsia="宋体" w:cs="宋体"/>
                <w:kern w:val="0"/>
                <w:sz w:val="24"/>
                <w:szCs w:val="32"/>
                <w:highlight w:val="none"/>
              </w:rPr>
            </w:pPr>
            <w:r>
              <w:rPr>
                <w:rFonts w:hint="eastAsia" w:ascii="宋体" w:hAnsi="宋体" w:eastAsia="宋体" w:cs="宋体"/>
                <w:kern w:val="0"/>
                <w:sz w:val="24"/>
                <w:szCs w:val="32"/>
                <w:highlight w:val="none"/>
              </w:rPr>
              <w:t>项目组成员</w:t>
            </w:r>
          </w:p>
          <w:p w14:paraId="3D8FB2F2">
            <w:pPr>
              <w:spacing w:before="1"/>
              <w:ind w:left="107"/>
              <w:jc w:val="center"/>
              <w:rPr>
                <w:rFonts w:ascii="宋体" w:hAnsi="宋体" w:eastAsia="宋体" w:cs="宋体"/>
                <w:kern w:val="0"/>
                <w:sz w:val="24"/>
                <w:highlight w:val="none"/>
              </w:rPr>
            </w:pPr>
            <w:r>
              <w:rPr>
                <w:rFonts w:hint="eastAsia" w:ascii="宋体" w:hAnsi="宋体" w:eastAsia="宋体" w:cs="宋体"/>
                <w:kern w:val="0"/>
                <w:sz w:val="24"/>
                <w:szCs w:val="32"/>
                <w:highlight w:val="none"/>
              </w:rPr>
              <w:t>（13分）</w:t>
            </w:r>
          </w:p>
        </w:tc>
        <w:tc>
          <w:tcPr>
            <w:tcW w:w="5664" w:type="dxa"/>
            <w:vAlign w:val="center"/>
          </w:tcPr>
          <w:p w14:paraId="4CD0B864">
            <w:pPr>
              <w:tabs>
                <w:tab w:val="center" w:pos="4153"/>
                <w:tab w:val="right" w:pos="8306"/>
              </w:tabs>
              <w:ind w:firstLine="480"/>
              <w:rPr>
                <w:rFonts w:ascii="Times New Roman" w:hAnsi="Times New Roman" w:eastAsia="宋体" w:cs="Times New Roman"/>
                <w:kern w:val="0"/>
                <w:sz w:val="24"/>
                <w:szCs w:val="21"/>
                <w:highlight w:val="none"/>
              </w:rPr>
            </w:pPr>
            <w:r>
              <w:rPr>
                <w:rFonts w:hint="eastAsia" w:ascii="Times New Roman" w:hAnsi="Times New Roman" w:eastAsia="宋体" w:cs="Times New Roman"/>
                <w:kern w:val="0"/>
                <w:sz w:val="24"/>
                <w:szCs w:val="21"/>
                <w:highlight w:val="none"/>
              </w:rPr>
              <w:t>1、项目负责人具有环保相关专业高级职称的，得3分；本项最高得3分。</w:t>
            </w:r>
          </w:p>
          <w:p w14:paraId="7E3EC34B">
            <w:pPr>
              <w:tabs>
                <w:tab w:val="center" w:pos="4153"/>
                <w:tab w:val="right" w:pos="8306"/>
              </w:tabs>
              <w:ind w:firstLine="480"/>
              <w:rPr>
                <w:rFonts w:ascii="Times New Roman" w:hAnsi="Times New Roman" w:eastAsia="宋体" w:cs="Times New Roman"/>
                <w:kern w:val="0"/>
                <w:sz w:val="24"/>
                <w:szCs w:val="21"/>
                <w:highlight w:val="none"/>
              </w:rPr>
            </w:pPr>
            <w:r>
              <w:rPr>
                <w:rFonts w:hint="eastAsia" w:ascii="Times New Roman" w:hAnsi="Times New Roman" w:eastAsia="宋体" w:cs="Times New Roman"/>
                <w:kern w:val="0"/>
                <w:sz w:val="24"/>
                <w:szCs w:val="21"/>
                <w:highlight w:val="none"/>
              </w:rPr>
              <w:t>2、拟定项目团队人员（不含项目负责人）中，同时具备环境类高级职称，每有1名得2分，本项最高得10分。</w:t>
            </w:r>
          </w:p>
          <w:p w14:paraId="48D714D3">
            <w:pPr>
              <w:tabs>
                <w:tab w:val="center" w:pos="4153"/>
                <w:tab w:val="right" w:pos="8306"/>
              </w:tabs>
              <w:spacing w:line="500" w:lineRule="exact"/>
              <w:ind w:firstLine="480"/>
              <w:rPr>
                <w:rFonts w:ascii="宋体" w:hAnsi="宋体" w:eastAsia="宋体" w:cs="宋体"/>
                <w:kern w:val="0"/>
                <w:sz w:val="24"/>
                <w:highlight w:val="none"/>
              </w:rPr>
            </w:pPr>
            <w:r>
              <w:rPr>
                <w:rFonts w:hint="eastAsia" w:ascii="Times New Roman" w:hAnsi="Times New Roman" w:eastAsia="宋体" w:cs="Times New Roman"/>
                <w:b/>
                <w:bCs/>
                <w:kern w:val="0"/>
                <w:highlight w:val="none"/>
              </w:rPr>
              <w:t>注：上述人员必须为投标人单位正式职工，并提供相关证书扫描件及投标人为其缴纳的近6个月内任意一个月社保证明材料（加盖公章）；若人员入职时间不足一个月，可提供投标单位出具的在职承诺函（加盖公章），承诺该人员为投标单位正式员工并将依法缴纳社保，否则承担相应责任；如已退休的必须提供退休证明及聘用合同。</w:t>
            </w:r>
          </w:p>
        </w:tc>
      </w:tr>
      <w:tr w14:paraId="5F40B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5" w:hRule="atLeast"/>
        </w:trPr>
        <w:tc>
          <w:tcPr>
            <w:tcW w:w="1867" w:type="dxa"/>
            <w:vMerge w:val="continue"/>
            <w:noWrap/>
            <w:vAlign w:val="center"/>
          </w:tcPr>
          <w:p w14:paraId="78F9939E">
            <w:pPr>
              <w:jc w:val="center"/>
              <w:rPr>
                <w:rFonts w:ascii="宋体" w:hAnsi="宋体" w:eastAsia="宋体" w:cs="宋体"/>
                <w:kern w:val="0"/>
                <w:sz w:val="24"/>
                <w:highlight w:val="none"/>
              </w:rPr>
            </w:pPr>
          </w:p>
        </w:tc>
        <w:tc>
          <w:tcPr>
            <w:tcW w:w="1753" w:type="dxa"/>
            <w:vAlign w:val="center"/>
          </w:tcPr>
          <w:p w14:paraId="19A10B03">
            <w:pPr>
              <w:jc w:val="center"/>
              <w:rPr>
                <w:rFonts w:ascii="宋体" w:hAnsi="宋体" w:eastAsia="宋体" w:cs="宋体"/>
                <w:kern w:val="0"/>
                <w:sz w:val="24"/>
                <w:szCs w:val="32"/>
                <w:highlight w:val="none"/>
              </w:rPr>
            </w:pPr>
            <w:r>
              <w:rPr>
                <w:rFonts w:hint="eastAsia" w:ascii="宋体" w:hAnsi="宋体" w:eastAsia="宋体" w:cs="宋体"/>
                <w:kern w:val="0"/>
                <w:sz w:val="24"/>
                <w:szCs w:val="32"/>
                <w:highlight w:val="none"/>
              </w:rPr>
              <w:t>类似业绩</w:t>
            </w:r>
          </w:p>
          <w:p w14:paraId="52303A3F">
            <w:pPr>
              <w:widowControl/>
              <w:jc w:val="center"/>
              <w:rPr>
                <w:rFonts w:ascii="宋体" w:hAnsi="宋体" w:eastAsia="宋体" w:cs="宋体"/>
                <w:kern w:val="0"/>
                <w:sz w:val="24"/>
                <w:highlight w:val="none"/>
              </w:rPr>
            </w:pPr>
            <w:r>
              <w:rPr>
                <w:rFonts w:hint="eastAsia" w:ascii="宋体" w:hAnsi="宋体" w:eastAsia="宋体" w:cs="宋体"/>
                <w:kern w:val="0"/>
                <w:sz w:val="24"/>
                <w:szCs w:val="32"/>
                <w:highlight w:val="none"/>
              </w:rPr>
              <w:t>（9分）</w:t>
            </w:r>
          </w:p>
        </w:tc>
        <w:tc>
          <w:tcPr>
            <w:tcW w:w="5664" w:type="dxa"/>
            <w:vAlign w:val="center"/>
          </w:tcPr>
          <w:p w14:paraId="1F3759A8">
            <w:pPr>
              <w:spacing w:line="360" w:lineRule="auto"/>
              <w:ind w:firstLine="480"/>
              <w:jc w:val="left"/>
              <w:rPr>
                <w:rFonts w:ascii="Times New Roman" w:hAnsi="Times New Roman" w:eastAsia="宋体" w:cs="Times New Roman"/>
                <w:color w:val="000000"/>
                <w:kern w:val="0"/>
                <w:sz w:val="24"/>
                <w:szCs w:val="21"/>
                <w:highlight w:val="none"/>
              </w:rPr>
            </w:pPr>
            <w:r>
              <w:rPr>
                <w:rFonts w:hint="eastAsia" w:ascii="Times New Roman" w:hAnsi="Times New Roman" w:eastAsia="宋体" w:cs="Times New Roman"/>
                <w:color w:val="000000"/>
                <w:kern w:val="0"/>
                <w:sz w:val="24"/>
                <w:szCs w:val="21"/>
                <w:highlight w:val="none"/>
              </w:rPr>
              <w:t>1、</w:t>
            </w:r>
            <w:r>
              <w:rPr>
                <w:rFonts w:ascii="Times New Roman" w:hAnsi="Times New Roman" w:eastAsia="宋体" w:cs="Times New Roman"/>
                <w:color w:val="000000"/>
                <w:kern w:val="0"/>
                <w:sz w:val="24"/>
                <w:szCs w:val="21"/>
                <w:highlight w:val="none"/>
              </w:rPr>
              <w:t>202</w:t>
            </w:r>
            <w:r>
              <w:rPr>
                <w:rFonts w:hint="eastAsia" w:ascii="Times New Roman" w:hAnsi="Times New Roman" w:eastAsia="宋体" w:cs="Times New Roman"/>
                <w:color w:val="000000"/>
                <w:kern w:val="0"/>
                <w:sz w:val="24"/>
                <w:szCs w:val="21"/>
                <w:highlight w:val="none"/>
              </w:rPr>
              <w:t>1</w:t>
            </w:r>
            <w:r>
              <w:rPr>
                <w:rFonts w:ascii="Times New Roman" w:hAnsi="Times New Roman" w:eastAsia="宋体" w:cs="Times New Roman"/>
                <w:color w:val="000000"/>
                <w:kern w:val="0"/>
                <w:sz w:val="24"/>
                <w:szCs w:val="21"/>
                <w:highlight w:val="none"/>
              </w:rPr>
              <w:t>年1月1日至今，投标人</w:t>
            </w:r>
            <w:r>
              <w:rPr>
                <w:rFonts w:hint="eastAsia" w:ascii="Times New Roman" w:hAnsi="Times New Roman" w:eastAsia="宋体" w:cs="Times New Roman"/>
                <w:color w:val="000000"/>
                <w:kern w:val="0"/>
                <w:sz w:val="24"/>
                <w:szCs w:val="21"/>
                <w:highlight w:val="none"/>
              </w:rPr>
              <w:t>类似</w:t>
            </w:r>
            <w:r>
              <w:rPr>
                <w:rFonts w:ascii="Times New Roman" w:hAnsi="Times New Roman" w:eastAsia="宋体" w:cs="Times New Roman"/>
                <w:color w:val="000000"/>
                <w:kern w:val="0"/>
                <w:sz w:val="24"/>
                <w:szCs w:val="21"/>
                <w:highlight w:val="none"/>
              </w:rPr>
              <w:t>业绩，</w:t>
            </w:r>
            <w:r>
              <w:rPr>
                <w:rFonts w:hint="eastAsia" w:ascii="Times New Roman" w:hAnsi="Times New Roman" w:eastAsia="宋体" w:cs="Times New Roman"/>
                <w:kern w:val="0"/>
                <w:sz w:val="24"/>
                <w:szCs w:val="21"/>
                <w:highlight w:val="none"/>
              </w:rPr>
              <w:t>每有</w:t>
            </w:r>
            <w:r>
              <w:rPr>
                <w:rFonts w:hint="eastAsia" w:ascii="Times New Roman" w:hAnsi="Times New Roman" w:eastAsia="宋体" w:cs="Times New Roman"/>
                <w:color w:val="000000"/>
                <w:kern w:val="0"/>
                <w:sz w:val="24"/>
                <w:szCs w:val="21"/>
                <w:highlight w:val="none"/>
              </w:rPr>
              <w:t>一个</w:t>
            </w:r>
            <w:r>
              <w:rPr>
                <w:rFonts w:ascii="Times New Roman" w:hAnsi="Times New Roman" w:eastAsia="宋体" w:cs="Times New Roman"/>
                <w:color w:val="000000"/>
                <w:kern w:val="0"/>
                <w:sz w:val="24"/>
                <w:szCs w:val="21"/>
                <w:highlight w:val="none"/>
              </w:rPr>
              <w:t>得</w:t>
            </w:r>
            <w:r>
              <w:rPr>
                <w:rFonts w:hint="eastAsia" w:ascii="Times New Roman" w:hAnsi="Times New Roman" w:eastAsia="宋体" w:cs="Times New Roman"/>
                <w:color w:val="000000"/>
                <w:kern w:val="0"/>
                <w:sz w:val="24"/>
                <w:szCs w:val="21"/>
                <w:highlight w:val="none"/>
              </w:rPr>
              <w:t>3</w:t>
            </w:r>
            <w:r>
              <w:rPr>
                <w:rFonts w:ascii="Times New Roman" w:hAnsi="Times New Roman" w:eastAsia="宋体" w:cs="Times New Roman"/>
                <w:color w:val="000000"/>
                <w:kern w:val="0"/>
                <w:sz w:val="24"/>
                <w:szCs w:val="21"/>
                <w:highlight w:val="none"/>
              </w:rPr>
              <w:t>分，本项最多得</w:t>
            </w:r>
            <w:r>
              <w:rPr>
                <w:rFonts w:hint="eastAsia" w:ascii="Times New Roman" w:hAnsi="Times New Roman" w:eastAsia="宋体" w:cs="Times New Roman"/>
                <w:color w:val="000000"/>
                <w:kern w:val="0"/>
                <w:sz w:val="24"/>
                <w:szCs w:val="21"/>
                <w:highlight w:val="none"/>
              </w:rPr>
              <w:t>9</w:t>
            </w:r>
            <w:r>
              <w:rPr>
                <w:rFonts w:ascii="Times New Roman" w:hAnsi="Times New Roman" w:eastAsia="宋体" w:cs="Times New Roman"/>
                <w:color w:val="000000"/>
                <w:kern w:val="0"/>
                <w:sz w:val="24"/>
                <w:szCs w:val="21"/>
                <w:highlight w:val="none"/>
              </w:rPr>
              <w:t>分。</w:t>
            </w:r>
          </w:p>
          <w:p w14:paraId="2977428C">
            <w:pPr>
              <w:widowControl/>
              <w:spacing w:line="500" w:lineRule="exact"/>
              <w:ind w:firstLine="240"/>
              <w:jc w:val="left"/>
              <w:rPr>
                <w:rFonts w:ascii="宋体" w:hAnsi="宋体" w:eastAsia="宋体" w:cs="宋体"/>
                <w:kern w:val="0"/>
                <w:sz w:val="24"/>
                <w:highlight w:val="none"/>
              </w:rPr>
            </w:pPr>
            <w:r>
              <w:rPr>
                <w:rFonts w:ascii="Times New Roman" w:hAnsi="Times New Roman" w:eastAsia="宋体" w:cs="Times New Roman"/>
                <w:color w:val="000000"/>
                <w:kern w:val="0"/>
                <w:sz w:val="24"/>
                <w:szCs w:val="21"/>
                <w:highlight w:val="none"/>
              </w:rPr>
              <w:t>注：</w:t>
            </w:r>
            <w:r>
              <w:rPr>
                <w:rFonts w:hint="eastAsia" w:ascii="Times New Roman" w:hAnsi="Times New Roman" w:eastAsia="宋体" w:cs="Times New Roman"/>
                <w:color w:val="000000"/>
                <w:kern w:val="0"/>
                <w:sz w:val="24"/>
                <w:szCs w:val="21"/>
                <w:highlight w:val="none"/>
              </w:rPr>
              <w:t>需提供完整合同，业绩认定时间以合同签订时间为准，提供合同原件扫描件并</w:t>
            </w:r>
            <w:r>
              <w:rPr>
                <w:rFonts w:ascii="Times New Roman" w:hAnsi="Times New Roman" w:eastAsia="宋体" w:cs="Times New Roman"/>
                <w:color w:val="000000"/>
                <w:sz w:val="24"/>
                <w:highlight w:val="none"/>
              </w:rPr>
              <w:t>加盖投标人公章，同一个业绩不重复计分。</w:t>
            </w:r>
          </w:p>
        </w:tc>
      </w:tr>
    </w:tbl>
    <w:p w14:paraId="50C882EB">
      <w:pPr>
        <w:spacing w:line="400" w:lineRule="exact"/>
        <w:ind w:firstLine="480"/>
        <w:rPr>
          <w:rFonts w:ascii="宋体" w:hAnsi="宋体" w:eastAsia="宋体" w:cs="Times New Roman"/>
          <w:color w:val="000000"/>
          <w:kern w:val="0"/>
          <w:sz w:val="24"/>
          <w:highlight w:val="none"/>
        </w:rPr>
      </w:pPr>
    </w:p>
    <w:p w14:paraId="37535A6C">
      <w:pPr>
        <w:rPr>
          <w:rFonts w:ascii="Times New Roman" w:hAnsi="Times New Roman" w:eastAsia="宋体" w:cs="Times New Roman"/>
          <w:color w:val="000000"/>
          <w:kern w:val="0"/>
          <w:szCs w:val="21"/>
          <w:highlight w:val="none"/>
        </w:rPr>
      </w:pPr>
    </w:p>
    <w:p w14:paraId="13C0AE0A">
      <w:pPr>
        <w:rPr>
          <w:rFonts w:ascii="Times New Roman" w:hAnsi="Times New Roman" w:eastAsia="宋体" w:cs="Times New Roman"/>
          <w:color w:val="000000"/>
          <w:kern w:val="0"/>
          <w:szCs w:val="21"/>
          <w:highlight w:val="none"/>
        </w:rPr>
      </w:pPr>
    </w:p>
    <w:p w14:paraId="61E17013">
      <w:pPr>
        <w:rPr>
          <w:rFonts w:ascii="Times New Roman" w:hAnsi="Times New Roman" w:eastAsia="宋体" w:cs="Times New Roman"/>
          <w:color w:val="000000"/>
          <w:kern w:val="0"/>
          <w:szCs w:val="21"/>
          <w:highlight w:val="none"/>
        </w:rPr>
      </w:pPr>
    </w:p>
    <w:p w14:paraId="20957CD2">
      <w:pPr>
        <w:rPr>
          <w:rFonts w:ascii="Times New Roman" w:hAnsi="Times New Roman" w:eastAsia="宋体" w:cs="Times New Roman"/>
          <w:color w:val="000000"/>
          <w:kern w:val="0"/>
          <w:szCs w:val="21"/>
          <w:highlight w:val="none"/>
        </w:rPr>
      </w:pPr>
    </w:p>
    <w:p w14:paraId="21E237B1">
      <w:pPr>
        <w:rPr>
          <w:rFonts w:ascii="Times New Roman" w:hAnsi="Times New Roman" w:eastAsia="宋体" w:cs="Times New Roman"/>
          <w:color w:val="000000"/>
          <w:kern w:val="0"/>
          <w:szCs w:val="21"/>
          <w:highlight w:val="none"/>
        </w:rPr>
      </w:pPr>
    </w:p>
    <w:p w14:paraId="7E7F4C00">
      <w:pPr>
        <w:keepNext/>
        <w:ind w:firstLine="2200"/>
        <w:outlineLvl w:val="0"/>
        <w:rPr>
          <w:rFonts w:ascii="黑体" w:hAnsi="Times New Roman" w:eastAsia="黑体" w:cs="Times New Roman"/>
          <w:bCs/>
          <w:color w:val="000000"/>
          <w:sz w:val="44"/>
          <w:szCs w:val="28"/>
          <w:highlight w:val="none"/>
        </w:rPr>
      </w:pPr>
    </w:p>
    <w:p w14:paraId="74939FDF">
      <w:pPr>
        <w:rPr>
          <w:rFonts w:ascii="黑体" w:hAnsi="Times New Roman" w:eastAsia="黑体" w:cs="Times New Roman"/>
          <w:bCs/>
          <w:color w:val="000000"/>
          <w:kern w:val="0"/>
          <w:sz w:val="44"/>
          <w:szCs w:val="21"/>
          <w:highlight w:val="none"/>
        </w:rPr>
      </w:pPr>
      <w:r>
        <w:rPr>
          <w:rFonts w:hint="eastAsia" w:ascii="黑体" w:hAnsi="Times New Roman" w:eastAsia="黑体" w:cs="Times New Roman"/>
          <w:bCs/>
          <w:color w:val="000000"/>
          <w:kern w:val="0"/>
          <w:sz w:val="44"/>
          <w:szCs w:val="21"/>
          <w:highlight w:val="none"/>
        </w:rPr>
        <w:br w:type="page"/>
      </w:r>
    </w:p>
    <w:p w14:paraId="5E692239">
      <w:pPr>
        <w:keepNext/>
        <w:ind w:firstLine="2200"/>
        <w:outlineLvl w:val="0"/>
        <w:rPr>
          <w:rFonts w:ascii="黑体" w:hAnsi="Times New Roman" w:eastAsia="黑体" w:cs="Times New Roman"/>
          <w:bCs/>
          <w:color w:val="000000"/>
          <w:sz w:val="44"/>
          <w:szCs w:val="28"/>
          <w:highlight w:val="none"/>
        </w:rPr>
      </w:pPr>
      <w:r>
        <w:rPr>
          <w:rFonts w:hint="eastAsia" w:ascii="黑体" w:hAnsi="Times New Roman" w:eastAsia="黑体" w:cs="Times New Roman"/>
          <w:bCs/>
          <w:color w:val="000000"/>
          <w:sz w:val="44"/>
          <w:szCs w:val="28"/>
          <w:highlight w:val="none"/>
        </w:rPr>
        <w:t>第六章  投标</w:t>
      </w:r>
      <w:bookmarkEnd w:id="138"/>
      <w:bookmarkEnd w:id="139"/>
      <w:bookmarkEnd w:id="140"/>
      <w:r>
        <w:rPr>
          <w:rFonts w:hint="eastAsia" w:ascii="黑体" w:hAnsi="Times New Roman" w:eastAsia="黑体" w:cs="Times New Roman"/>
          <w:bCs/>
          <w:color w:val="000000"/>
          <w:sz w:val="44"/>
          <w:szCs w:val="28"/>
          <w:highlight w:val="none"/>
        </w:rPr>
        <w:t xml:space="preserve">文件格式 </w:t>
      </w:r>
    </w:p>
    <w:p w14:paraId="0252DA6C">
      <w:pPr>
        <w:jc w:val="center"/>
        <w:rPr>
          <w:rFonts w:ascii="宋体" w:hAnsi="宋体" w:eastAsia="宋体" w:cs="Times New Roman"/>
          <w:b/>
          <w:color w:val="000000"/>
          <w:kern w:val="0"/>
          <w:sz w:val="72"/>
          <w:szCs w:val="21"/>
          <w:highlight w:val="none"/>
        </w:rPr>
      </w:pPr>
      <w:bookmarkStart w:id="147" w:name="_Hlt26671244"/>
      <w:bookmarkEnd w:id="147"/>
      <w:bookmarkStart w:id="148" w:name="_Hlt26955039"/>
      <w:bookmarkEnd w:id="148"/>
      <w:bookmarkStart w:id="149" w:name="_Toc120614282"/>
      <w:bookmarkStart w:id="150" w:name="_Toc26554094"/>
      <w:bookmarkStart w:id="151" w:name="_Toc49090576"/>
    </w:p>
    <w:p w14:paraId="3F92226C">
      <w:pPr>
        <w:jc w:val="center"/>
        <w:rPr>
          <w:rFonts w:ascii="宋体" w:hAnsi="宋体" w:eastAsia="宋体" w:cs="Times New Roman"/>
          <w:b/>
          <w:color w:val="000000"/>
          <w:kern w:val="0"/>
          <w:sz w:val="72"/>
          <w:szCs w:val="21"/>
          <w:highlight w:val="none"/>
        </w:rPr>
      </w:pPr>
      <w:r>
        <w:rPr>
          <w:rFonts w:hint="eastAsia" w:ascii="宋体" w:hAnsi="宋体" w:eastAsia="宋体" w:cs="Times New Roman"/>
          <w:b/>
          <w:color w:val="000000"/>
          <w:kern w:val="0"/>
          <w:sz w:val="72"/>
          <w:szCs w:val="21"/>
          <w:highlight w:val="none"/>
        </w:rPr>
        <w:t>投  标  文  件</w:t>
      </w:r>
    </w:p>
    <w:p w14:paraId="643F641F">
      <w:pPr>
        <w:jc w:val="center"/>
        <w:rPr>
          <w:rFonts w:ascii="宋体" w:hAnsi="宋体" w:eastAsia="宋体" w:cs="Times New Roman"/>
          <w:b/>
          <w:color w:val="000000"/>
          <w:kern w:val="0"/>
          <w:sz w:val="72"/>
          <w:szCs w:val="21"/>
          <w:highlight w:val="none"/>
        </w:rPr>
      </w:pPr>
    </w:p>
    <w:p w14:paraId="6EF0F6C4">
      <w:pPr>
        <w:jc w:val="center"/>
        <w:rPr>
          <w:rFonts w:ascii="宋体" w:hAnsi="宋体" w:eastAsia="宋体" w:cs="Times New Roman"/>
          <w:b/>
          <w:color w:val="000000"/>
          <w:kern w:val="0"/>
          <w:sz w:val="72"/>
          <w:szCs w:val="21"/>
          <w:highlight w:val="none"/>
        </w:rPr>
      </w:pPr>
    </w:p>
    <w:p w14:paraId="2D37A08F">
      <w:pPr>
        <w:jc w:val="center"/>
        <w:rPr>
          <w:rFonts w:ascii="宋体" w:hAnsi="宋体" w:eastAsia="宋体" w:cs="Times New Roman"/>
          <w:b/>
          <w:color w:val="000000"/>
          <w:kern w:val="0"/>
          <w:sz w:val="36"/>
          <w:szCs w:val="21"/>
          <w:highlight w:val="none"/>
        </w:rPr>
      </w:pPr>
    </w:p>
    <w:p w14:paraId="4A176265">
      <w:pPr>
        <w:jc w:val="center"/>
        <w:rPr>
          <w:rFonts w:ascii="宋体" w:hAnsi="宋体" w:eastAsia="宋体" w:cs="Times New Roman"/>
          <w:b/>
          <w:color w:val="000000"/>
          <w:kern w:val="0"/>
          <w:sz w:val="36"/>
          <w:szCs w:val="21"/>
          <w:highlight w:val="none"/>
        </w:rPr>
      </w:pPr>
    </w:p>
    <w:p w14:paraId="7E268B5D">
      <w:pPr>
        <w:jc w:val="center"/>
        <w:rPr>
          <w:rFonts w:ascii="宋体" w:hAnsi="宋体" w:eastAsia="宋体" w:cs="Times New Roman"/>
          <w:b/>
          <w:color w:val="000000"/>
          <w:kern w:val="0"/>
          <w:sz w:val="36"/>
          <w:szCs w:val="21"/>
          <w:highlight w:val="none"/>
        </w:rPr>
      </w:pPr>
    </w:p>
    <w:p w14:paraId="27BD6459">
      <w:pPr>
        <w:ind w:firstLine="1084"/>
        <w:rPr>
          <w:rFonts w:ascii="宋体" w:hAnsi="宋体" w:eastAsia="宋体" w:cs="Times New Roman"/>
          <w:b/>
          <w:color w:val="000000"/>
          <w:kern w:val="0"/>
          <w:sz w:val="36"/>
          <w:szCs w:val="21"/>
          <w:highlight w:val="none"/>
        </w:rPr>
      </w:pPr>
      <w:r>
        <w:rPr>
          <w:rFonts w:hint="eastAsia" w:ascii="宋体" w:hAnsi="宋体" w:eastAsia="宋体" w:cs="Times New Roman"/>
          <w:b/>
          <w:color w:val="000000"/>
          <w:kern w:val="0"/>
          <w:sz w:val="36"/>
          <w:szCs w:val="21"/>
          <w:highlight w:val="none"/>
        </w:rPr>
        <w:t>项 目 名 称：</w:t>
      </w:r>
      <w:r>
        <w:rPr>
          <w:rFonts w:hint="eastAsia" w:ascii="宋体" w:hAnsi="宋体" w:eastAsia="宋体" w:cs="Times New Roman"/>
          <w:b/>
          <w:color w:val="000000"/>
          <w:kern w:val="0"/>
          <w:sz w:val="36"/>
          <w:szCs w:val="21"/>
          <w:highlight w:val="none"/>
          <w:u w:val="single"/>
        </w:rPr>
        <w:t xml:space="preserve">               </w:t>
      </w:r>
    </w:p>
    <w:p w14:paraId="27BF8406">
      <w:pPr>
        <w:ind w:firstLine="1084"/>
        <w:rPr>
          <w:rFonts w:ascii="宋体" w:hAnsi="宋体" w:eastAsia="宋体" w:cs="Times New Roman"/>
          <w:b/>
          <w:color w:val="000000"/>
          <w:kern w:val="0"/>
          <w:sz w:val="36"/>
          <w:szCs w:val="21"/>
          <w:highlight w:val="none"/>
          <w:u w:val="single"/>
        </w:rPr>
      </w:pPr>
      <w:r>
        <w:rPr>
          <w:rFonts w:hint="eastAsia" w:ascii="宋体" w:hAnsi="宋体" w:eastAsia="宋体" w:cs="Times New Roman"/>
          <w:b/>
          <w:color w:val="000000"/>
          <w:kern w:val="0"/>
          <w:sz w:val="36"/>
          <w:szCs w:val="21"/>
          <w:highlight w:val="none"/>
        </w:rPr>
        <w:t>项 目 编 号：</w:t>
      </w:r>
      <w:r>
        <w:rPr>
          <w:rFonts w:hint="eastAsia" w:ascii="宋体" w:hAnsi="宋体" w:eastAsia="宋体" w:cs="Times New Roman"/>
          <w:b/>
          <w:color w:val="000000"/>
          <w:kern w:val="0"/>
          <w:sz w:val="36"/>
          <w:szCs w:val="21"/>
          <w:highlight w:val="none"/>
          <w:u w:val="single"/>
        </w:rPr>
        <w:t xml:space="preserve">               </w:t>
      </w:r>
    </w:p>
    <w:p w14:paraId="79389DE9">
      <w:pPr>
        <w:rPr>
          <w:rFonts w:ascii="宋体" w:hAnsi="宋体" w:eastAsia="宋体" w:cs="Times New Roman"/>
          <w:b/>
          <w:color w:val="000000"/>
          <w:kern w:val="0"/>
          <w:sz w:val="36"/>
          <w:szCs w:val="21"/>
          <w:highlight w:val="none"/>
          <w:u w:val="single"/>
        </w:rPr>
      </w:pPr>
      <w:r>
        <w:rPr>
          <w:rFonts w:hint="eastAsia" w:ascii="宋体" w:hAnsi="宋体" w:eastAsia="宋体" w:cs="Times New Roman"/>
          <w:b/>
          <w:color w:val="000000"/>
          <w:kern w:val="0"/>
          <w:sz w:val="36"/>
          <w:szCs w:val="21"/>
          <w:highlight w:val="none"/>
        </w:rPr>
        <w:t xml:space="preserve">      投标人名称 ：</w:t>
      </w:r>
      <w:r>
        <w:rPr>
          <w:rFonts w:hint="eastAsia" w:ascii="宋体" w:hAnsi="宋体" w:eastAsia="宋体" w:cs="Times New Roman"/>
          <w:b/>
          <w:color w:val="000000"/>
          <w:kern w:val="0"/>
          <w:sz w:val="36"/>
          <w:szCs w:val="21"/>
          <w:highlight w:val="none"/>
          <w:u w:val="single"/>
        </w:rPr>
        <w:t xml:space="preserve"> （加盖CA电子公章） </w:t>
      </w:r>
    </w:p>
    <w:p w14:paraId="0C0EFBA5">
      <w:pPr>
        <w:rPr>
          <w:rFonts w:ascii="宋体" w:hAnsi="宋体" w:eastAsia="宋体" w:cs="Times New Roman"/>
          <w:b/>
          <w:color w:val="000000"/>
          <w:kern w:val="0"/>
          <w:sz w:val="36"/>
          <w:szCs w:val="21"/>
          <w:highlight w:val="none"/>
          <w:u w:val="single"/>
        </w:rPr>
      </w:pPr>
      <w:r>
        <w:rPr>
          <w:rFonts w:hint="eastAsia" w:ascii="宋体" w:hAnsi="宋体" w:eastAsia="宋体" w:cs="Times New Roman"/>
          <w:b/>
          <w:color w:val="000000"/>
          <w:kern w:val="0"/>
          <w:sz w:val="36"/>
          <w:szCs w:val="21"/>
          <w:highlight w:val="none"/>
        </w:rPr>
        <w:t xml:space="preserve">      日      期 ：</w:t>
      </w:r>
      <w:r>
        <w:rPr>
          <w:rFonts w:hint="eastAsia" w:ascii="宋体" w:hAnsi="宋体" w:eastAsia="宋体" w:cs="Times New Roman"/>
          <w:b/>
          <w:color w:val="000000"/>
          <w:kern w:val="0"/>
          <w:sz w:val="36"/>
          <w:szCs w:val="21"/>
          <w:highlight w:val="none"/>
          <w:u w:val="single"/>
        </w:rPr>
        <w:t xml:space="preserve">               </w:t>
      </w:r>
    </w:p>
    <w:p w14:paraId="35D89021">
      <w:pPr>
        <w:spacing w:line="440" w:lineRule="exact"/>
        <w:jc w:val="center"/>
        <w:rPr>
          <w:rFonts w:ascii="宋体" w:hAnsi="宋体" w:eastAsia="宋体" w:cs="Times New Roman"/>
          <w:b/>
          <w:bCs/>
          <w:color w:val="000000"/>
          <w:kern w:val="0"/>
          <w:sz w:val="32"/>
          <w:szCs w:val="32"/>
          <w:highlight w:val="none"/>
        </w:rPr>
      </w:pPr>
    </w:p>
    <w:p w14:paraId="501E1BC0">
      <w:pPr>
        <w:spacing w:line="440" w:lineRule="exact"/>
        <w:rPr>
          <w:rFonts w:ascii="宋体" w:hAnsi="宋体" w:eastAsia="宋体" w:cs="Times New Roman"/>
          <w:color w:val="000000"/>
          <w:kern w:val="0"/>
          <w:szCs w:val="21"/>
          <w:highlight w:val="none"/>
        </w:rPr>
      </w:pPr>
    </w:p>
    <w:p w14:paraId="2E1B85D1">
      <w:pPr>
        <w:ind w:firstLine="1084"/>
        <w:rPr>
          <w:rFonts w:ascii="宋体" w:hAnsi="宋体" w:eastAsia="宋体" w:cs="Times New Roman"/>
          <w:b/>
          <w:bCs/>
          <w:color w:val="000000"/>
          <w:kern w:val="0"/>
          <w:sz w:val="32"/>
          <w:szCs w:val="32"/>
          <w:highlight w:val="none"/>
        </w:rPr>
      </w:pPr>
      <w:r>
        <w:rPr>
          <w:rFonts w:ascii="宋体" w:hAnsi="宋体" w:eastAsia="宋体" w:cs="Times New Roman"/>
          <w:b/>
          <w:color w:val="000000"/>
          <w:kern w:val="0"/>
          <w:sz w:val="36"/>
          <w:szCs w:val="21"/>
          <w:highlight w:val="none"/>
          <w:u w:val="single"/>
        </w:rPr>
        <w:br w:type="page" w:clear="all"/>
      </w:r>
      <w:bookmarkEnd w:id="133"/>
      <w:bookmarkEnd w:id="134"/>
      <w:bookmarkEnd w:id="149"/>
      <w:bookmarkEnd w:id="150"/>
      <w:bookmarkEnd w:id="151"/>
    </w:p>
    <w:p w14:paraId="70E9806F">
      <w:pPr>
        <w:spacing w:line="440" w:lineRule="exact"/>
        <w:jc w:val="center"/>
        <w:rPr>
          <w:rFonts w:ascii="宋体" w:hAnsi="宋体" w:eastAsia="宋体" w:cs="Times New Roman"/>
          <w:b/>
          <w:bCs/>
          <w:color w:val="000000"/>
          <w:kern w:val="0"/>
          <w:sz w:val="32"/>
          <w:szCs w:val="32"/>
          <w:highlight w:val="none"/>
        </w:rPr>
      </w:pPr>
      <w:r>
        <w:rPr>
          <w:rFonts w:hint="eastAsia" w:ascii="宋体" w:hAnsi="宋体" w:eastAsia="宋体" w:cs="Times New Roman"/>
          <w:b/>
          <w:bCs/>
          <w:color w:val="000000"/>
          <w:kern w:val="0"/>
          <w:sz w:val="32"/>
          <w:szCs w:val="32"/>
          <w:highlight w:val="none"/>
        </w:rPr>
        <w:t>投标文件目录</w:t>
      </w:r>
    </w:p>
    <w:p w14:paraId="48F1168A">
      <w:pPr>
        <w:spacing w:line="440" w:lineRule="exact"/>
        <w:jc w:val="center"/>
        <w:rPr>
          <w:rFonts w:ascii="宋体" w:hAnsi="宋体" w:eastAsia="宋体" w:cs="Times New Roman"/>
          <w:b/>
          <w:bCs/>
          <w:color w:val="000000"/>
          <w:kern w:val="0"/>
          <w:sz w:val="32"/>
          <w:szCs w:val="32"/>
          <w:highlight w:val="none"/>
        </w:rPr>
      </w:pPr>
    </w:p>
    <w:p w14:paraId="63FA7B7B">
      <w:pPr>
        <w:spacing w:line="440" w:lineRule="exact"/>
        <w:ind w:firstLine="480"/>
        <w:rPr>
          <w:rFonts w:ascii="宋体" w:hAnsi="宋体" w:eastAsia="宋体" w:cs="Times New Roman"/>
          <w:color w:val="000000"/>
          <w:kern w:val="0"/>
          <w:sz w:val="24"/>
          <w:szCs w:val="21"/>
          <w:highlight w:val="none"/>
        </w:rPr>
      </w:pPr>
    </w:p>
    <w:p w14:paraId="1B60053D">
      <w:pPr>
        <w:spacing w:line="440" w:lineRule="exact"/>
        <w:ind w:firstLine="480"/>
        <w:rPr>
          <w:rFonts w:ascii="宋体" w:hAnsi="宋体" w:eastAsia="宋体" w:cs="Times New Roman"/>
          <w:color w:val="000000"/>
          <w:kern w:val="0"/>
          <w:sz w:val="24"/>
          <w:szCs w:val="21"/>
          <w:highlight w:val="none"/>
        </w:rPr>
      </w:pPr>
    </w:p>
    <w:p w14:paraId="4DB5A9AF">
      <w:pPr>
        <w:spacing w:line="440" w:lineRule="exact"/>
        <w:ind w:firstLine="480"/>
        <w:rPr>
          <w:rFonts w:ascii="宋体" w:hAnsi="宋体" w:eastAsia="宋体" w:cs="Times New Roman"/>
          <w:color w:val="000000"/>
          <w:kern w:val="0"/>
          <w:sz w:val="24"/>
          <w:szCs w:val="21"/>
          <w:highlight w:val="none"/>
        </w:rPr>
      </w:pPr>
    </w:p>
    <w:p w14:paraId="4D3B8513">
      <w:pPr>
        <w:spacing w:line="440" w:lineRule="exact"/>
        <w:ind w:firstLine="480"/>
        <w:rPr>
          <w:rFonts w:ascii="宋体" w:hAnsi="宋体" w:eastAsia="宋体" w:cs="Times New Roman"/>
          <w:color w:val="000000"/>
          <w:kern w:val="0"/>
          <w:sz w:val="24"/>
          <w:szCs w:val="21"/>
          <w:highlight w:val="none"/>
        </w:rPr>
      </w:pPr>
    </w:p>
    <w:p w14:paraId="7F6D1652">
      <w:pPr>
        <w:spacing w:line="440" w:lineRule="exact"/>
        <w:ind w:firstLine="480"/>
        <w:rPr>
          <w:rFonts w:ascii="宋体" w:hAnsi="宋体" w:eastAsia="宋体" w:cs="Times New Roman"/>
          <w:color w:val="000000"/>
          <w:kern w:val="0"/>
          <w:sz w:val="24"/>
          <w:szCs w:val="21"/>
          <w:highlight w:val="none"/>
        </w:rPr>
      </w:pPr>
    </w:p>
    <w:p w14:paraId="16FE41A0">
      <w:pPr>
        <w:spacing w:line="440" w:lineRule="exact"/>
        <w:ind w:firstLine="480"/>
        <w:rPr>
          <w:rFonts w:ascii="宋体" w:hAnsi="宋体" w:eastAsia="宋体" w:cs="Times New Roman"/>
          <w:color w:val="000000"/>
          <w:kern w:val="0"/>
          <w:sz w:val="24"/>
          <w:szCs w:val="21"/>
          <w:highlight w:val="none"/>
        </w:rPr>
      </w:pPr>
    </w:p>
    <w:p w14:paraId="33285817">
      <w:pPr>
        <w:spacing w:line="440" w:lineRule="exact"/>
        <w:ind w:firstLine="480"/>
        <w:rPr>
          <w:rFonts w:ascii="宋体" w:hAnsi="宋体" w:eastAsia="宋体" w:cs="Times New Roman"/>
          <w:color w:val="000000"/>
          <w:kern w:val="0"/>
          <w:sz w:val="24"/>
          <w:szCs w:val="21"/>
          <w:highlight w:val="none"/>
        </w:rPr>
      </w:pPr>
    </w:p>
    <w:p w14:paraId="2DC83057">
      <w:pPr>
        <w:spacing w:line="440" w:lineRule="exact"/>
        <w:ind w:firstLine="480"/>
        <w:rPr>
          <w:rFonts w:ascii="宋体" w:hAnsi="宋体" w:eastAsia="宋体" w:cs="Times New Roman"/>
          <w:color w:val="000000"/>
          <w:kern w:val="0"/>
          <w:sz w:val="24"/>
          <w:szCs w:val="21"/>
          <w:highlight w:val="none"/>
        </w:rPr>
      </w:pPr>
    </w:p>
    <w:p w14:paraId="73F3461B">
      <w:pPr>
        <w:spacing w:line="440" w:lineRule="exact"/>
        <w:ind w:firstLine="480"/>
        <w:rPr>
          <w:rFonts w:ascii="宋体" w:hAnsi="宋体" w:eastAsia="宋体" w:cs="Times New Roman"/>
          <w:color w:val="000000"/>
          <w:kern w:val="0"/>
          <w:sz w:val="24"/>
          <w:szCs w:val="21"/>
          <w:highlight w:val="none"/>
        </w:rPr>
      </w:pPr>
    </w:p>
    <w:p w14:paraId="56D5651B">
      <w:pPr>
        <w:spacing w:line="440" w:lineRule="exact"/>
        <w:ind w:firstLine="480"/>
        <w:rPr>
          <w:rFonts w:ascii="宋体" w:hAnsi="宋体" w:eastAsia="宋体" w:cs="Times New Roman"/>
          <w:color w:val="000000"/>
          <w:kern w:val="0"/>
          <w:sz w:val="24"/>
          <w:szCs w:val="21"/>
          <w:highlight w:val="none"/>
        </w:rPr>
      </w:pPr>
    </w:p>
    <w:p w14:paraId="53949AD8">
      <w:pPr>
        <w:spacing w:line="440" w:lineRule="exact"/>
        <w:ind w:firstLine="480"/>
        <w:rPr>
          <w:rFonts w:ascii="宋体" w:hAnsi="宋体" w:eastAsia="宋体" w:cs="Times New Roman"/>
          <w:color w:val="000000"/>
          <w:kern w:val="0"/>
          <w:sz w:val="24"/>
          <w:szCs w:val="21"/>
          <w:highlight w:val="none"/>
        </w:rPr>
      </w:pPr>
    </w:p>
    <w:p w14:paraId="070528BD">
      <w:pPr>
        <w:rPr>
          <w:rFonts w:ascii="宋体" w:hAnsi="宋体" w:eastAsia="楷体_GB2312" w:cs="Times New Roman"/>
          <w:color w:val="000000"/>
          <w:sz w:val="24"/>
          <w:szCs w:val="28"/>
          <w:highlight w:val="none"/>
        </w:rPr>
      </w:pPr>
    </w:p>
    <w:p w14:paraId="6BF88D16">
      <w:pPr>
        <w:rPr>
          <w:rFonts w:ascii="宋体" w:hAnsi="宋体" w:eastAsia="楷体_GB2312" w:cs="Times New Roman"/>
          <w:color w:val="000000"/>
          <w:sz w:val="24"/>
          <w:szCs w:val="28"/>
          <w:highlight w:val="none"/>
        </w:rPr>
      </w:pPr>
    </w:p>
    <w:p w14:paraId="39496833">
      <w:pPr>
        <w:rPr>
          <w:rFonts w:ascii="宋体" w:hAnsi="宋体" w:eastAsia="楷体_GB2312" w:cs="Times New Roman"/>
          <w:color w:val="000000"/>
          <w:sz w:val="24"/>
          <w:szCs w:val="28"/>
          <w:highlight w:val="none"/>
        </w:rPr>
      </w:pPr>
    </w:p>
    <w:p w14:paraId="502F32E2">
      <w:pPr>
        <w:rPr>
          <w:rFonts w:ascii="宋体" w:hAnsi="宋体" w:eastAsia="楷体_GB2312" w:cs="Times New Roman"/>
          <w:color w:val="000000"/>
          <w:sz w:val="24"/>
          <w:szCs w:val="28"/>
          <w:highlight w:val="none"/>
        </w:rPr>
      </w:pPr>
    </w:p>
    <w:p w14:paraId="3DBFF772">
      <w:pPr>
        <w:spacing w:line="360" w:lineRule="auto"/>
        <w:jc w:val="left"/>
        <w:rPr>
          <w:rFonts w:ascii="黑体" w:hAnsi="黑体" w:eastAsia="黑体" w:cs="宋体"/>
          <w:bCs/>
          <w:color w:val="000000"/>
          <w:sz w:val="36"/>
          <w:szCs w:val="28"/>
          <w:highlight w:val="none"/>
        </w:rPr>
        <w:sectPr>
          <w:footerReference r:id="rId7" w:type="default"/>
          <w:pgSz w:w="11906" w:h="16838"/>
          <w:pgMar w:top="1417" w:right="1417" w:bottom="1417" w:left="1417" w:header="851" w:footer="992" w:gutter="0"/>
          <w:cols w:space="1701" w:num="1"/>
          <w:docGrid w:linePitch="360" w:charSpace="0"/>
        </w:sectPr>
      </w:pPr>
    </w:p>
    <w:p w14:paraId="0884A71C">
      <w:pPr>
        <w:spacing w:line="360" w:lineRule="auto"/>
        <w:jc w:val="left"/>
        <w:rPr>
          <w:rFonts w:ascii="黑体" w:hAnsi="黑体" w:eastAsia="黑体" w:cs="宋体"/>
          <w:bCs/>
          <w:color w:val="000000"/>
          <w:kern w:val="0"/>
          <w:sz w:val="36"/>
          <w:szCs w:val="28"/>
          <w:highlight w:val="none"/>
        </w:rPr>
      </w:pPr>
      <w:r>
        <w:rPr>
          <w:rFonts w:hint="eastAsia" w:ascii="黑体" w:hAnsi="黑体" w:eastAsia="黑体" w:cs="宋体"/>
          <w:bCs/>
          <w:color w:val="000000"/>
          <w:kern w:val="0"/>
          <w:sz w:val="36"/>
          <w:szCs w:val="28"/>
          <w:highlight w:val="none"/>
        </w:rPr>
        <w:t>一、法人或者其他组织的营业执照等证明文件，自然人的身份证明</w:t>
      </w:r>
    </w:p>
    <w:p w14:paraId="640B96B7">
      <w:pPr>
        <w:spacing w:line="440" w:lineRule="exact"/>
        <w:ind w:firstLine="480"/>
        <w:rPr>
          <w:rFonts w:ascii="宋体" w:hAnsi="宋体" w:eastAsia="宋体" w:cs="Times New Roman"/>
          <w:color w:val="000000"/>
          <w:kern w:val="0"/>
          <w:sz w:val="24"/>
          <w:szCs w:val="21"/>
          <w:highlight w:val="none"/>
        </w:rPr>
      </w:pPr>
      <w:r>
        <w:rPr>
          <w:rFonts w:ascii="宋体" w:hAnsi="宋体" w:eastAsia="宋体" w:cs="Times New Roman"/>
          <w:color w:val="000000"/>
          <w:kern w:val="0"/>
          <w:sz w:val="24"/>
          <w:szCs w:val="21"/>
          <w:highlight w:val="none"/>
        </w:rPr>
        <w:br w:type="page" w:clear="all"/>
      </w:r>
    </w:p>
    <w:p w14:paraId="2BA1D781">
      <w:pPr>
        <w:spacing w:line="360" w:lineRule="auto"/>
        <w:jc w:val="left"/>
        <w:rPr>
          <w:rFonts w:ascii="黑体" w:hAnsi="黑体" w:eastAsia="黑体" w:cs="宋体"/>
          <w:bCs/>
          <w:color w:val="000000"/>
          <w:kern w:val="0"/>
          <w:sz w:val="36"/>
          <w:szCs w:val="28"/>
          <w:highlight w:val="none"/>
        </w:rPr>
      </w:pPr>
      <w:r>
        <w:rPr>
          <w:rFonts w:hint="eastAsia" w:ascii="黑体" w:hAnsi="黑体" w:eastAsia="黑体" w:cs="宋体"/>
          <w:bCs/>
          <w:color w:val="000000"/>
          <w:kern w:val="0"/>
          <w:sz w:val="36"/>
          <w:szCs w:val="28"/>
          <w:highlight w:val="none"/>
        </w:rPr>
        <w:t>二、财务状况报告</w:t>
      </w:r>
    </w:p>
    <w:p w14:paraId="7AD52E5A">
      <w:pPr>
        <w:spacing w:line="360" w:lineRule="auto"/>
        <w:ind w:firstLine="960"/>
        <w:rPr>
          <w:rFonts w:ascii="宋体" w:hAnsi="宋体" w:eastAsia="宋体" w:cs="宋体"/>
          <w:color w:val="000000"/>
          <w:kern w:val="0"/>
          <w:sz w:val="24"/>
          <w:highlight w:val="none"/>
        </w:rPr>
      </w:pPr>
    </w:p>
    <w:p w14:paraId="5F601F44">
      <w:pPr>
        <w:spacing w:line="360" w:lineRule="auto"/>
        <w:jc w:val="center"/>
        <w:rPr>
          <w:rFonts w:ascii="宋体" w:hAnsi="宋体" w:eastAsia="宋体" w:cs="宋体"/>
          <w:b/>
          <w:bCs/>
          <w:color w:val="000000"/>
          <w:kern w:val="0"/>
          <w:sz w:val="28"/>
          <w:szCs w:val="28"/>
          <w:highlight w:val="none"/>
        </w:rPr>
      </w:pPr>
      <w:r>
        <w:rPr>
          <w:rFonts w:hint="eastAsia" w:ascii="宋体" w:hAnsi="宋体" w:eastAsia="宋体" w:cs="宋体"/>
          <w:b/>
          <w:bCs/>
          <w:color w:val="000000"/>
          <w:kern w:val="0"/>
          <w:sz w:val="28"/>
          <w:szCs w:val="28"/>
          <w:highlight w:val="none"/>
        </w:rPr>
        <w:t>财务状况报告及税收、社会保障资金缴纳情况承诺函</w:t>
      </w:r>
    </w:p>
    <w:p w14:paraId="059C5530">
      <w:pPr>
        <w:rPr>
          <w:rFonts w:ascii="宋体" w:hAnsi="宋体" w:eastAsia="宋体" w:cs="宋体"/>
          <w:color w:val="000000"/>
          <w:sz w:val="24"/>
          <w:highlight w:val="none"/>
        </w:rPr>
      </w:pPr>
    </w:p>
    <w:p w14:paraId="597CD1FA">
      <w:pPr>
        <w:spacing w:line="360" w:lineRule="auto"/>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致：</w:t>
      </w:r>
      <w:r>
        <w:rPr>
          <w:rFonts w:hint="eastAsia" w:ascii="宋体" w:hAnsi="宋体" w:eastAsia="宋体" w:cs="宋体"/>
          <w:color w:val="000000"/>
          <w:kern w:val="0"/>
          <w:sz w:val="24"/>
          <w:highlight w:val="none"/>
          <w:u w:val="single"/>
        </w:rPr>
        <w:t xml:space="preserve">                  </w:t>
      </w:r>
    </w:p>
    <w:p w14:paraId="24903EDC">
      <w:pPr>
        <w:spacing w:line="360" w:lineRule="auto"/>
        <w:ind w:firstLine="480"/>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我方</w:t>
      </w:r>
      <w:r>
        <w:rPr>
          <w:rFonts w:hint="eastAsia" w:ascii="宋体" w:hAnsi="宋体" w:eastAsia="宋体" w:cs="宋体"/>
          <w:color w:val="000000"/>
          <w:kern w:val="0"/>
          <w:sz w:val="24"/>
          <w:highlight w:val="none"/>
          <w:u w:val="single"/>
        </w:rPr>
        <w:t xml:space="preserve"> （投标人名称） </w:t>
      </w:r>
      <w:r>
        <w:rPr>
          <w:rFonts w:hint="eastAsia" w:ascii="宋体" w:hAnsi="宋体" w:eastAsia="宋体" w:cs="宋体"/>
          <w:color w:val="000000"/>
          <w:kern w:val="0"/>
          <w:sz w:val="24"/>
          <w:highlight w:val="none"/>
        </w:rPr>
        <w:t xml:space="preserve">参加 </w:t>
      </w:r>
      <w:r>
        <w:rPr>
          <w:rFonts w:hint="eastAsia" w:ascii="宋体" w:hAnsi="宋体" w:eastAsia="宋体" w:cs="宋体"/>
          <w:color w:val="000000"/>
          <w:kern w:val="0"/>
          <w:sz w:val="24"/>
          <w:highlight w:val="none"/>
          <w:u w:val="single"/>
        </w:rPr>
        <w:t xml:space="preserve">                 </w:t>
      </w:r>
      <w:r>
        <w:rPr>
          <w:rFonts w:hint="eastAsia" w:ascii="宋体" w:hAnsi="宋体" w:eastAsia="宋体" w:cs="宋体"/>
          <w:color w:val="000000"/>
          <w:kern w:val="0"/>
          <w:sz w:val="24"/>
          <w:highlight w:val="none"/>
        </w:rPr>
        <w:t>（标段编号：</w:t>
      </w:r>
      <w:r>
        <w:rPr>
          <w:rFonts w:hint="eastAsia" w:ascii="宋体" w:hAnsi="宋体" w:eastAsia="宋体" w:cs="宋体"/>
          <w:color w:val="000000"/>
          <w:kern w:val="0"/>
          <w:sz w:val="24"/>
          <w:highlight w:val="none"/>
          <w:u w:val="single"/>
        </w:rPr>
        <w:t xml:space="preserve">           </w:t>
      </w:r>
      <w:r>
        <w:rPr>
          <w:rFonts w:hint="eastAsia" w:ascii="宋体" w:hAnsi="宋体" w:eastAsia="宋体" w:cs="宋体"/>
          <w:color w:val="000000"/>
          <w:kern w:val="0"/>
          <w:sz w:val="24"/>
          <w:highlight w:val="none"/>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4CC84BFF">
      <w:pPr>
        <w:spacing w:line="360" w:lineRule="auto"/>
        <w:ind w:firstLine="480"/>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（1）具有良好的商业信誉和健全的财务会计制度；</w:t>
      </w:r>
    </w:p>
    <w:p w14:paraId="3B1859D1">
      <w:pPr>
        <w:spacing w:line="360" w:lineRule="auto"/>
        <w:ind w:firstLine="480"/>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（2）有依法缴纳税收和社会保障资金的良好记录。</w:t>
      </w:r>
    </w:p>
    <w:p w14:paraId="303A7B25">
      <w:pPr>
        <w:spacing w:line="360" w:lineRule="auto"/>
        <w:ind w:firstLine="480"/>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我方对上述承诺的真实性负责，如有虚假，将依法承担提供虚假材料谋取中标、成交责任，同时同意有关主管部门将相关失信信息记入公共信用信息系统并在相关政府门户网站公开。</w:t>
      </w:r>
    </w:p>
    <w:p w14:paraId="4E931A93">
      <w:pPr>
        <w:spacing w:line="360" w:lineRule="auto"/>
        <w:ind w:firstLine="480"/>
        <w:rPr>
          <w:rFonts w:ascii="宋体" w:hAnsi="宋体" w:eastAsia="宋体" w:cs="宋体"/>
          <w:color w:val="000000"/>
          <w:kern w:val="0"/>
          <w:sz w:val="24"/>
          <w:highlight w:val="none"/>
        </w:rPr>
      </w:pPr>
    </w:p>
    <w:p w14:paraId="7C6F54F6">
      <w:pPr>
        <w:spacing w:line="360" w:lineRule="auto"/>
        <w:ind w:firstLine="480"/>
        <w:rPr>
          <w:rFonts w:ascii="宋体" w:hAnsi="宋体" w:eastAsia="宋体" w:cs="宋体"/>
          <w:color w:val="000000"/>
          <w:kern w:val="0"/>
          <w:sz w:val="24"/>
          <w:highlight w:val="none"/>
        </w:rPr>
      </w:pPr>
    </w:p>
    <w:p w14:paraId="561B6038">
      <w:pPr>
        <w:spacing w:line="360" w:lineRule="auto"/>
        <w:ind w:firstLine="480"/>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特此承诺</w:t>
      </w:r>
    </w:p>
    <w:p w14:paraId="7347321C">
      <w:pPr>
        <w:spacing w:line="360" w:lineRule="auto"/>
        <w:ind w:firstLine="480"/>
        <w:rPr>
          <w:rFonts w:ascii="宋体" w:hAnsi="宋体" w:eastAsia="宋体" w:cs="宋体"/>
          <w:color w:val="000000"/>
          <w:kern w:val="0"/>
          <w:sz w:val="24"/>
          <w:highlight w:val="none"/>
        </w:rPr>
      </w:pPr>
    </w:p>
    <w:p w14:paraId="0D5A6059">
      <w:pPr>
        <w:spacing w:line="360" w:lineRule="auto"/>
        <w:ind w:firstLine="480"/>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投标人（盖章）：</w:t>
      </w:r>
    </w:p>
    <w:p w14:paraId="5F2EF9B1">
      <w:pPr>
        <w:spacing w:line="360" w:lineRule="auto"/>
        <w:ind w:firstLine="480"/>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法定代表人或委托代理人（签字或盖章）：</w:t>
      </w:r>
    </w:p>
    <w:p w14:paraId="282DE075">
      <w:pPr>
        <w:spacing w:line="360" w:lineRule="auto"/>
        <w:ind w:firstLine="480"/>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日期：    年     月     日</w:t>
      </w:r>
    </w:p>
    <w:p w14:paraId="0308A43A">
      <w:pPr>
        <w:ind w:firstLine="480"/>
        <w:rPr>
          <w:rFonts w:ascii="宋体" w:hAnsi="宋体" w:eastAsia="宋体" w:cs="Times New Roman"/>
          <w:color w:val="000000"/>
          <w:kern w:val="0"/>
          <w:sz w:val="24"/>
          <w:highlight w:val="none"/>
        </w:rPr>
      </w:pPr>
    </w:p>
    <w:p w14:paraId="7D90EFA0">
      <w:pPr>
        <w:rPr>
          <w:rFonts w:ascii="黑体" w:hAnsi="黑体" w:eastAsia="黑体" w:cs="Times New Roman"/>
          <w:i/>
          <w:color w:val="000000"/>
          <w:kern w:val="0"/>
          <w:sz w:val="32"/>
          <w:szCs w:val="32"/>
          <w:highlight w:val="none"/>
          <w:u w:val="single"/>
        </w:rPr>
      </w:pPr>
      <w:r>
        <w:rPr>
          <w:rFonts w:hint="eastAsia" w:ascii="黑体" w:hAnsi="黑体" w:eastAsia="黑体" w:cs="Times New Roman"/>
          <w:i/>
          <w:color w:val="000000"/>
          <w:kern w:val="0"/>
          <w:sz w:val="32"/>
          <w:szCs w:val="32"/>
          <w:highlight w:val="none"/>
          <w:u w:val="single"/>
        </w:rPr>
        <w:br w:type="page" w:clear="all"/>
      </w:r>
    </w:p>
    <w:p w14:paraId="3C45D3ED">
      <w:pPr>
        <w:spacing w:line="360" w:lineRule="auto"/>
        <w:jc w:val="left"/>
        <w:rPr>
          <w:rFonts w:ascii="黑体" w:hAnsi="黑体" w:eastAsia="黑体" w:cs="宋体"/>
          <w:bCs/>
          <w:color w:val="000000"/>
          <w:kern w:val="0"/>
          <w:sz w:val="36"/>
          <w:szCs w:val="28"/>
          <w:highlight w:val="none"/>
        </w:rPr>
      </w:pPr>
      <w:r>
        <w:rPr>
          <w:rFonts w:hint="eastAsia" w:ascii="黑体" w:hAnsi="黑体" w:eastAsia="黑体" w:cs="宋体"/>
          <w:bCs/>
          <w:color w:val="000000"/>
          <w:kern w:val="0"/>
          <w:sz w:val="36"/>
          <w:szCs w:val="28"/>
          <w:highlight w:val="none"/>
        </w:rPr>
        <w:t>三、依法缴纳税收和社会保障资金的相关材料</w:t>
      </w:r>
    </w:p>
    <w:p w14:paraId="5DDFECCF">
      <w:pPr>
        <w:spacing w:line="360" w:lineRule="auto"/>
        <w:ind w:firstLine="960"/>
        <w:rPr>
          <w:rFonts w:ascii="宋体" w:hAnsi="宋体" w:eastAsia="宋体" w:cs="宋体"/>
          <w:color w:val="000000"/>
          <w:kern w:val="0"/>
          <w:sz w:val="24"/>
          <w:highlight w:val="none"/>
        </w:rPr>
      </w:pPr>
      <w:bookmarkStart w:id="152" w:name="_Toc120614284"/>
    </w:p>
    <w:p w14:paraId="728CA680">
      <w:pPr>
        <w:spacing w:line="360" w:lineRule="auto"/>
        <w:ind w:firstLine="960"/>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财务状况报告及税收、社会保障资金缴纳情况承诺函</w:t>
      </w:r>
    </w:p>
    <w:p w14:paraId="18DC6C85">
      <w:pPr>
        <w:rPr>
          <w:rFonts w:ascii="宋体" w:hAnsi="宋体" w:eastAsia="宋体" w:cs="宋体"/>
          <w:color w:val="000000"/>
          <w:sz w:val="24"/>
          <w:highlight w:val="none"/>
        </w:rPr>
      </w:pPr>
    </w:p>
    <w:p w14:paraId="5B3BF312">
      <w:pPr>
        <w:spacing w:line="360" w:lineRule="auto"/>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致：</w:t>
      </w:r>
      <w:r>
        <w:rPr>
          <w:rFonts w:hint="eastAsia" w:ascii="宋体" w:hAnsi="宋体" w:eastAsia="宋体" w:cs="宋体"/>
          <w:color w:val="000000"/>
          <w:kern w:val="0"/>
          <w:sz w:val="24"/>
          <w:highlight w:val="none"/>
          <w:u w:val="single"/>
        </w:rPr>
        <w:t xml:space="preserve">                  </w:t>
      </w:r>
    </w:p>
    <w:p w14:paraId="25E8E1B1">
      <w:pPr>
        <w:spacing w:line="360" w:lineRule="auto"/>
        <w:ind w:firstLine="480"/>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我方</w:t>
      </w:r>
      <w:r>
        <w:rPr>
          <w:rFonts w:hint="eastAsia" w:ascii="宋体" w:hAnsi="宋体" w:eastAsia="宋体" w:cs="宋体"/>
          <w:color w:val="000000"/>
          <w:kern w:val="0"/>
          <w:sz w:val="24"/>
          <w:highlight w:val="none"/>
          <w:u w:val="single"/>
        </w:rPr>
        <w:t xml:space="preserve"> （投标人名称） </w:t>
      </w:r>
      <w:r>
        <w:rPr>
          <w:rFonts w:hint="eastAsia" w:ascii="宋体" w:hAnsi="宋体" w:eastAsia="宋体" w:cs="宋体"/>
          <w:color w:val="000000"/>
          <w:kern w:val="0"/>
          <w:sz w:val="24"/>
          <w:highlight w:val="none"/>
        </w:rPr>
        <w:t xml:space="preserve">参加 </w:t>
      </w:r>
      <w:r>
        <w:rPr>
          <w:rFonts w:hint="eastAsia" w:ascii="宋体" w:hAnsi="宋体" w:eastAsia="宋体" w:cs="宋体"/>
          <w:color w:val="000000"/>
          <w:kern w:val="0"/>
          <w:sz w:val="24"/>
          <w:highlight w:val="none"/>
          <w:u w:val="single"/>
        </w:rPr>
        <w:t xml:space="preserve">                 </w:t>
      </w:r>
      <w:r>
        <w:rPr>
          <w:rFonts w:hint="eastAsia" w:ascii="宋体" w:hAnsi="宋体" w:eastAsia="宋体" w:cs="宋体"/>
          <w:color w:val="000000"/>
          <w:kern w:val="0"/>
          <w:sz w:val="24"/>
          <w:highlight w:val="none"/>
        </w:rPr>
        <w:t>（标段编号：</w:t>
      </w:r>
      <w:r>
        <w:rPr>
          <w:rFonts w:hint="eastAsia" w:ascii="宋体" w:hAnsi="宋体" w:eastAsia="宋体" w:cs="宋体"/>
          <w:color w:val="000000"/>
          <w:kern w:val="0"/>
          <w:sz w:val="24"/>
          <w:highlight w:val="none"/>
          <w:u w:val="single"/>
        </w:rPr>
        <w:t xml:space="preserve">           </w:t>
      </w:r>
      <w:r>
        <w:rPr>
          <w:rFonts w:hint="eastAsia" w:ascii="宋体" w:hAnsi="宋体" w:eastAsia="宋体" w:cs="宋体"/>
          <w:color w:val="000000"/>
          <w:kern w:val="0"/>
          <w:sz w:val="24"/>
          <w:highlight w:val="none"/>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72270935">
      <w:pPr>
        <w:spacing w:line="360" w:lineRule="auto"/>
        <w:ind w:firstLine="480"/>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（1）具有良好的商业信誉和健全的财务会计制度；</w:t>
      </w:r>
    </w:p>
    <w:p w14:paraId="5E992226">
      <w:pPr>
        <w:spacing w:line="360" w:lineRule="auto"/>
        <w:ind w:firstLine="480"/>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（2）有依法缴纳税收和社会保障资金的良好记录。</w:t>
      </w:r>
    </w:p>
    <w:p w14:paraId="33BFFB39">
      <w:pPr>
        <w:spacing w:line="360" w:lineRule="auto"/>
        <w:ind w:firstLine="480"/>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我方对上述承诺的真实性负责，如有虚假，将依法承担提供虚假材料谋取中标、成交责任，同时同意有关主管部门将相关失信信息记入公共信用信息系统并在相关政府门户网站公开。</w:t>
      </w:r>
    </w:p>
    <w:p w14:paraId="6715975E">
      <w:pPr>
        <w:spacing w:line="360" w:lineRule="auto"/>
        <w:ind w:firstLine="480"/>
        <w:rPr>
          <w:rFonts w:ascii="宋体" w:hAnsi="宋体" w:eastAsia="宋体" w:cs="宋体"/>
          <w:color w:val="000000"/>
          <w:kern w:val="0"/>
          <w:sz w:val="24"/>
          <w:highlight w:val="none"/>
        </w:rPr>
      </w:pPr>
    </w:p>
    <w:p w14:paraId="425CCCF0">
      <w:pPr>
        <w:spacing w:line="360" w:lineRule="auto"/>
        <w:ind w:firstLine="480"/>
        <w:rPr>
          <w:rFonts w:ascii="宋体" w:hAnsi="宋体" w:eastAsia="宋体" w:cs="宋体"/>
          <w:color w:val="000000"/>
          <w:kern w:val="0"/>
          <w:sz w:val="24"/>
          <w:highlight w:val="none"/>
        </w:rPr>
      </w:pPr>
    </w:p>
    <w:p w14:paraId="7D2EDA37">
      <w:pPr>
        <w:spacing w:line="360" w:lineRule="auto"/>
        <w:ind w:firstLine="480"/>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特此承诺</w:t>
      </w:r>
    </w:p>
    <w:p w14:paraId="097677AE">
      <w:pPr>
        <w:spacing w:line="360" w:lineRule="auto"/>
        <w:ind w:firstLine="480"/>
        <w:rPr>
          <w:rFonts w:ascii="宋体" w:hAnsi="宋体" w:eastAsia="宋体" w:cs="宋体"/>
          <w:color w:val="000000"/>
          <w:kern w:val="0"/>
          <w:sz w:val="24"/>
          <w:highlight w:val="none"/>
        </w:rPr>
      </w:pPr>
    </w:p>
    <w:p w14:paraId="20D9FFE4">
      <w:pPr>
        <w:spacing w:line="360" w:lineRule="auto"/>
        <w:ind w:firstLine="480"/>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投标人（盖章）：</w:t>
      </w:r>
    </w:p>
    <w:p w14:paraId="663A91B6">
      <w:pPr>
        <w:spacing w:line="360" w:lineRule="auto"/>
        <w:ind w:firstLine="480"/>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法定代表人或委托代理人（签字或盖章）：</w:t>
      </w:r>
    </w:p>
    <w:p w14:paraId="6FF4E2AF">
      <w:pPr>
        <w:spacing w:line="360" w:lineRule="auto"/>
        <w:ind w:firstLine="480"/>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日期：    年     月     日</w:t>
      </w:r>
    </w:p>
    <w:p w14:paraId="20A93F2C">
      <w:pPr>
        <w:ind w:firstLine="480"/>
        <w:rPr>
          <w:rFonts w:ascii="宋体" w:hAnsi="宋体" w:eastAsia="宋体" w:cs="Times New Roman"/>
          <w:color w:val="000000"/>
          <w:kern w:val="0"/>
          <w:sz w:val="24"/>
          <w:highlight w:val="none"/>
        </w:rPr>
      </w:pPr>
    </w:p>
    <w:p w14:paraId="17E94E88">
      <w:pPr>
        <w:rPr>
          <w:rFonts w:ascii="黑体" w:hAnsi="黑体" w:eastAsia="黑体" w:cs="Times New Roman"/>
          <w:i/>
          <w:color w:val="000000"/>
          <w:kern w:val="0"/>
          <w:sz w:val="32"/>
          <w:szCs w:val="32"/>
          <w:highlight w:val="none"/>
          <w:u w:val="single"/>
        </w:rPr>
      </w:pPr>
      <w:r>
        <w:rPr>
          <w:rFonts w:hint="eastAsia" w:ascii="黑体" w:hAnsi="黑体" w:eastAsia="黑体" w:cs="Times New Roman"/>
          <w:i/>
          <w:color w:val="000000"/>
          <w:kern w:val="0"/>
          <w:sz w:val="32"/>
          <w:szCs w:val="32"/>
          <w:highlight w:val="none"/>
          <w:u w:val="single"/>
        </w:rPr>
        <w:br w:type="page" w:clear="all"/>
      </w:r>
    </w:p>
    <w:p w14:paraId="6C767F2F">
      <w:pPr>
        <w:numPr>
          <w:ilvl w:val="0"/>
          <w:numId w:val="6"/>
        </w:numPr>
        <w:spacing w:line="360" w:lineRule="auto"/>
        <w:jc w:val="left"/>
        <w:rPr>
          <w:rFonts w:ascii="黑体" w:hAnsi="黑体" w:eastAsia="黑体" w:cs="宋体"/>
          <w:bCs/>
          <w:color w:val="000000"/>
          <w:kern w:val="0"/>
          <w:sz w:val="36"/>
          <w:szCs w:val="28"/>
          <w:highlight w:val="none"/>
        </w:rPr>
      </w:pPr>
      <w:r>
        <w:rPr>
          <w:rFonts w:hint="eastAsia" w:ascii="黑体" w:hAnsi="黑体" w:eastAsia="黑体" w:cs="宋体"/>
          <w:bCs/>
          <w:color w:val="000000"/>
          <w:kern w:val="0"/>
          <w:sz w:val="36"/>
          <w:szCs w:val="28"/>
          <w:highlight w:val="none"/>
        </w:rPr>
        <w:t>具备履行合同所必需的设备和专业技术能力的书面声明</w:t>
      </w:r>
    </w:p>
    <w:p w14:paraId="18FA2EBB">
      <w:pPr>
        <w:spacing w:line="360" w:lineRule="auto"/>
        <w:jc w:val="center"/>
        <w:rPr>
          <w:rFonts w:ascii="黑体" w:hAnsi="黑体" w:eastAsia="黑体" w:cs="宋体"/>
          <w:bCs/>
          <w:color w:val="000000"/>
          <w:kern w:val="0"/>
          <w:sz w:val="36"/>
          <w:szCs w:val="28"/>
          <w:highlight w:val="none"/>
        </w:rPr>
      </w:pPr>
    </w:p>
    <w:p w14:paraId="50DF6AC3">
      <w:pPr>
        <w:spacing w:line="360" w:lineRule="auto"/>
        <w:jc w:val="center"/>
        <w:rPr>
          <w:rFonts w:ascii="黑体" w:hAnsi="黑体" w:eastAsia="黑体" w:cs="宋体"/>
          <w:bCs/>
          <w:color w:val="000000"/>
          <w:kern w:val="0"/>
          <w:sz w:val="36"/>
          <w:szCs w:val="28"/>
          <w:highlight w:val="none"/>
        </w:rPr>
      </w:pPr>
      <w:r>
        <w:rPr>
          <w:rFonts w:hint="eastAsia" w:ascii="黑体" w:hAnsi="黑体" w:eastAsia="黑体" w:cs="宋体"/>
          <w:bCs/>
          <w:color w:val="000000"/>
          <w:kern w:val="0"/>
          <w:sz w:val="36"/>
          <w:szCs w:val="28"/>
          <w:highlight w:val="none"/>
        </w:rPr>
        <w:t>声明</w:t>
      </w:r>
    </w:p>
    <w:p w14:paraId="260FA8D6">
      <w:pPr>
        <w:spacing w:line="360" w:lineRule="auto"/>
        <w:jc w:val="left"/>
        <w:rPr>
          <w:rFonts w:ascii="黑体" w:hAnsi="黑体" w:eastAsia="黑体" w:cs="宋体"/>
          <w:bCs/>
          <w:color w:val="000000"/>
          <w:kern w:val="0"/>
          <w:sz w:val="36"/>
          <w:szCs w:val="28"/>
          <w:highlight w:val="none"/>
        </w:rPr>
      </w:pPr>
    </w:p>
    <w:p w14:paraId="41CCE618">
      <w:pPr>
        <w:spacing w:line="460" w:lineRule="exact"/>
        <w:ind w:firstLine="492"/>
        <w:rPr>
          <w:rFonts w:ascii="宋体" w:hAnsi="宋体" w:eastAsia="宋体" w:cs="Times New Roman"/>
          <w:bCs/>
          <w:color w:val="000000"/>
          <w:kern w:val="0"/>
          <w:sz w:val="24"/>
          <w:szCs w:val="21"/>
          <w:highlight w:val="none"/>
        </w:rPr>
      </w:pPr>
      <w:r>
        <w:rPr>
          <w:rFonts w:hint="eastAsia" w:ascii="宋体" w:hAnsi="宋体" w:eastAsia="宋体" w:cs="Times New Roman"/>
          <w:bCs/>
          <w:color w:val="000000"/>
          <w:kern w:val="0"/>
          <w:sz w:val="24"/>
          <w:szCs w:val="21"/>
          <w:highlight w:val="none"/>
        </w:rPr>
        <w:t>我单位郑重声明：我单位具备履行本项采购合同所必需的设备和专业技术能力，为履行本项采购合同我公司具备如下主要设备和主要专业技术能力：</w:t>
      </w:r>
    </w:p>
    <w:p w14:paraId="6CA40414">
      <w:pPr>
        <w:spacing w:line="460" w:lineRule="exact"/>
        <w:ind w:firstLine="492"/>
        <w:rPr>
          <w:rFonts w:ascii="宋体" w:hAnsi="宋体" w:eastAsia="宋体" w:cs="Times New Roman"/>
          <w:bCs/>
          <w:color w:val="000000"/>
          <w:kern w:val="0"/>
          <w:sz w:val="24"/>
          <w:szCs w:val="21"/>
          <w:highlight w:val="none"/>
        </w:rPr>
      </w:pPr>
      <w:r>
        <w:rPr>
          <w:rFonts w:hint="eastAsia" w:ascii="宋体" w:hAnsi="宋体" w:eastAsia="宋体" w:cs="Times New Roman"/>
          <w:bCs/>
          <w:color w:val="000000"/>
          <w:kern w:val="0"/>
          <w:sz w:val="24"/>
          <w:szCs w:val="21"/>
          <w:highlight w:val="none"/>
        </w:rPr>
        <w:t>主要设备有：</w:t>
      </w:r>
      <w:r>
        <w:rPr>
          <w:rFonts w:hint="eastAsia" w:ascii="宋体" w:hAnsi="宋体" w:eastAsia="宋体" w:cs="Times New Roman"/>
          <w:bCs/>
          <w:color w:val="000000"/>
          <w:kern w:val="0"/>
          <w:sz w:val="24"/>
          <w:szCs w:val="21"/>
          <w:highlight w:val="none"/>
          <w:u w:val="single"/>
        </w:rPr>
        <w:t xml:space="preserve">                     </w:t>
      </w:r>
      <w:r>
        <w:rPr>
          <w:rFonts w:hint="eastAsia" w:ascii="宋体" w:hAnsi="宋体" w:eastAsia="宋体" w:cs="Times New Roman"/>
          <w:bCs/>
          <w:color w:val="000000"/>
          <w:kern w:val="0"/>
          <w:sz w:val="24"/>
          <w:szCs w:val="21"/>
          <w:highlight w:val="none"/>
        </w:rPr>
        <w:t>。</w:t>
      </w:r>
    </w:p>
    <w:p w14:paraId="6B3D598A">
      <w:pPr>
        <w:spacing w:line="460" w:lineRule="exact"/>
        <w:ind w:firstLine="492"/>
        <w:rPr>
          <w:rFonts w:ascii="宋体" w:hAnsi="宋体" w:eastAsia="宋体" w:cs="Times New Roman"/>
          <w:bCs/>
          <w:color w:val="000000"/>
          <w:kern w:val="0"/>
          <w:sz w:val="24"/>
          <w:szCs w:val="21"/>
          <w:highlight w:val="none"/>
        </w:rPr>
      </w:pPr>
      <w:r>
        <w:rPr>
          <w:rFonts w:hint="eastAsia" w:ascii="宋体" w:hAnsi="宋体" w:eastAsia="宋体" w:cs="Times New Roman"/>
          <w:bCs/>
          <w:color w:val="000000"/>
          <w:kern w:val="0"/>
          <w:sz w:val="24"/>
          <w:szCs w:val="21"/>
          <w:highlight w:val="none"/>
        </w:rPr>
        <w:t>主要专业技术能力有：</w:t>
      </w:r>
      <w:r>
        <w:rPr>
          <w:rFonts w:hint="eastAsia" w:ascii="宋体" w:hAnsi="宋体" w:eastAsia="宋体" w:cs="Times New Roman"/>
          <w:bCs/>
          <w:color w:val="000000"/>
          <w:kern w:val="0"/>
          <w:sz w:val="24"/>
          <w:szCs w:val="21"/>
          <w:highlight w:val="none"/>
          <w:u w:val="single"/>
        </w:rPr>
        <w:t xml:space="preserve">              </w:t>
      </w:r>
      <w:r>
        <w:rPr>
          <w:rFonts w:hint="eastAsia" w:ascii="宋体" w:hAnsi="宋体" w:eastAsia="宋体" w:cs="Times New Roman"/>
          <w:bCs/>
          <w:color w:val="000000"/>
          <w:kern w:val="0"/>
          <w:sz w:val="24"/>
          <w:szCs w:val="21"/>
          <w:highlight w:val="none"/>
        </w:rPr>
        <w:t>。</w:t>
      </w:r>
    </w:p>
    <w:p w14:paraId="2BA10117">
      <w:pPr>
        <w:spacing w:line="460" w:lineRule="exact"/>
        <w:rPr>
          <w:rFonts w:ascii="宋体" w:hAnsi="宋体" w:eastAsia="宋体" w:cs="Times New Roman"/>
          <w:bCs/>
          <w:color w:val="000000"/>
          <w:kern w:val="0"/>
          <w:sz w:val="24"/>
          <w:szCs w:val="21"/>
          <w:highlight w:val="none"/>
        </w:rPr>
      </w:pPr>
      <w:r>
        <w:rPr>
          <w:rFonts w:hint="eastAsia" w:ascii="宋体" w:hAnsi="宋体" w:eastAsia="宋体" w:cs="Times New Roman"/>
          <w:bCs/>
          <w:color w:val="000000"/>
          <w:kern w:val="0"/>
          <w:sz w:val="24"/>
          <w:szCs w:val="21"/>
          <w:highlight w:val="none"/>
        </w:rPr>
        <w:t xml:space="preserve">          </w:t>
      </w:r>
    </w:p>
    <w:p w14:paraId="5AB38FDE">
      <w:pPr>
        <w:spacing w:line="360" w:lineRule="auto"/>
        <w:ind w:firstLine="480"/>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投标人（盖章）：</w:t>
      </w:r>
    </w:p>
    <w:p w14:paraId="35A3208D">
      <w:pPr>
        <w:spacing w:line="360" w:lineRule="auto"/>
        <w:ind w:firstLine="480"/>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法定代表人或委托代理人（签字或盖章）：</w:t>
      </w:r>
    </w:p>
    <w:p w14:paraId="4E248016">
      <w:pPr>
        <w:spacing w:line="360" w:lineRule="auto"/>
        <w:ind w:firstLine="480"/>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日期：    年     月     日</w:t>
      </w:r>
    </w:p>
    <w:p w14:paraId="6952B50A">
      <w:pPr>
        <w:spacing w:line="460" w:lineRule="exact"/>
        <w:rPr>
          <w:rFonts w:ascii="宋体" w:hAnsi="宋体" w:eastAsia="宋体" w:cs="Times New Roman"/>
          <w:bCs/>
          <w:color w:val="000000"/>
          <w:kern w:val="0"/>
          <w:sz w:val="24"/>
          <w:szCs w:val="21"/>
          <w:highlight w:val="none"/>
        </w:rPr>
      </w:pPr>
      <w:r>
        <w:rPr>
          <w:rFonts w:hint="eastAsia" w:ascii="宋体" w:hAnsi="宋体" w:eastAsia="宋体" w:cs="Times New Roman"/>
          <w:bCs/>
          <w:color w:val="000000"/>
          <w:kern w:val="0"/>
          <w:sz w:val="24"/>
          <w:szCs w:val="21"/>
          <w:highlight w:val="none"/>
        </w:rPr>
        <w:br w:type="page" w:clear="all"/>
      </w:r>
      <w:r>
        <w:rPr>
          <w:rFonts w:hint="eastAsia" w:ascii="宋体" w:hAnsi="宋体" w:eastAsia="宋体" w:cs="Times New Roman"/>
          <w:bCs/>
          <w:color w:val="000000"/>
          <w:kern w:val="0"/>
          <w:sz w:val="24"/>
          <w:szCs w:val="21"/>
          <w:highlight w:val="none"/>
        </w:rPr>
        <w:t xml:space="preserve">                           </w:t>
      </w:r>
    </w:p>
    <w:p w14:paraId="24F833CD">
      <w:pPr>
        <w:spacing w:line="360" w:lineRule="auto"/>
        <w:jc w:val="left"/>
        <w:rPr>
          <w:rFonts w:ascii="黑体" w:hAnsi="黑体" w:eastAsia="黑体" w:cs="宋体"/>
          <w:bCs/>
          <w:color w:val="000000"/>
          <w:kern w:val="0"/>
          <w:sz w:val="36"/>
          <w:szCs w:val="28"/>
          <w:highlight w:val="none"/>
        </w:rPr>
      </w:pPr>
    </w:p>
    <w:p w14:paraId="60E7F9EA">
      <w:pPr>
        <w:spacing w:line="360" w:lineRule="auto"/>
        <w:jc w:val="left"/>
        <w:rPr>
          <w:rFonts w:ascii="黑体" w:hAnsi="黑体" w:eastAsia="黑体" w:cs="宋体"/>
          <w:bCs/>
          <w:color w:val="000000"/>
          <w:kern w:val="0"/>
          <w:sz w:val="36"/>
          <w:szCs w:val="28"/>
          <w:highlight w:val="none"/>
        </w:rPr>
      </w:pPr>
      <w:r>
        <w:rPr>
          <w:rFonts w:hint="eastAsia" w:ascii="黑体" w:hAnsi="黑体" w:eastAsia="黑体" w:cs="宋体"/>
          <w:bCs/>
          <w:color w:val="000000"/>
          <w:kern w:val="0"/>
          <w:sz w:val="36"/>
          <w:szCs w:val="28"/>
          <w:highlight w:val="none"/>
        </w:rPr>
        <w:t>五、参加政府采购活动前 3 年内在经营活动中没有重大违法记录的书面声明</w:t>
      </w:r>
    </w:p>
    <w:p w14:paraId="3E6B79EC">
      <w:pPr>
        <w:spacing w:line="460" w:lineRule="exact"/>
        <w:rPr>
          <w:rFonts w:ascii="宋体" w:hAnsi="宋体" w:eastAsia="宋体" w:cs="Times New Roman"/>
          <w:b/>
          <w:bCs/>
          <w:color w:val="000000"/>
          <w:kern w:val="0"/>
          <w:sz w:val="44"/>
          <w:szCs w:val="44"/>
          <w:highlight w:val="none"/>
        </w:rPr>
      </w:pPr>
      <w:r>
        <w:rPr>
          <w:rFonts w:hint="eastAsia" w:ascii="宋体" w:hAnsi="宋体" w:eastAsia="宋体" w:cs="Times New Roman"/>
          <w:b/>
          <w:bCs/>
          <w:color w:val="000000"/>
          <w:kern w:val="0"/>
          <w:sz w:val="44"/>
          <w:szCs w:val="44"/>
          <w:highlight w:val="none"/>
        </w:rPr>
        <w:t xml:space="preserve">                 </w:t>
      </w:r>
    </w:p>
    <w:p w14:paraId="3C312C80">
      <w:pPr>
        <w:spacing w:line="460" w:lineRule="exact"/>
        <w:rPr>
          <w:rFonts w:ascii="宋体" w:hAnsi="宋体" w:eastAsia="宋体" w:cs="Times New Roman"/>
          <w:b/>
          <w:bCs/>
          <w:color w:val="000000"/>
          <w:kern w:val="0"/>
          <w:sz w:val="44"/>
          <w:szCs w:val="44"/>
          <w:highlight w:val="none"/>
        </w:rPr>
      </w:pPr>
    </w:p>
    <w:p w14:paraId="4584F534">
      <w:pPr>
        <w:spacing w:line="460" w:lineRule="exact"/>
        <w:jc w:val="center"/>
        <w:rPr>
          <w:rFonts w:ascii="宋体" w:hAnsi="宋体" w:eastAsia="宋体" w:cs="Times New Roman"/>
          <w:b/>
          <w:bCs/>
          <w:color w:val="000000"/>
          <w:kern w:val="0"/>
          <w:sz w:val="44"/>
          <w:szCs w:val="44"/>
          <w:highlight w:val="none"/>
        </w:rPr>
      </w:pPr>
      <w:r>
        <w:rPr>
          <w:rFonts w:hint="eastAsia" w:ascii="宋体" w:hAnsi="宋体" w:eastAsia="宋体" w:cs="Times New Roman"/>
          <w:b/>
          <w:bCs/>
          <w:color w:val="000000"/>
          <w:kern w:val="0"/>
          <w:sz w:val="44"/>
          <w:szCs w:val="44"/>
          <w:highlight w:val="none"/>
        </w:rPr>
        <w:t>声  明</w:t>
      </w:r>
    </w:p>
    <w:p w14:paraId="18BFA967">
      <w:pPr>
        <w:spacing w:line="460" w:lineRule="exact"/>
        <w:rPr>
          <w:rFonts w:ascii="宋体" w:hAnsi="宋体" w:eastAsia="宋体" w:cs="Times New Roman"/>
          <w:bCs/>
          <w:color w:val="000000"/>
          <w:kern w:val="0"/>
          <w:sz w:val="24"/>
          <w:szCs w:val="21"/>
          <w:highlight w:val="none"/>
        </w:rPr>
      </w:pPr>
      <w:r>
        <w:rPr>
          <w:rFonts w:hint="eastAsia" w:ascii="宋体" w:hAnsi="宋体" w:eastAsia="宋体" w:cs="Times New Roman"/>
          <w:b/>
          <w:bCs/>
          <w:color w:val="000000"/>
          <w:kern w:val="0"/>
          <w:sz w:val="24"/>
          <w:szCs w:val="21"/>
          <w:highlight w:val="none"/>
        </w:rPr>
        <w:t xml:space="preserve">    </w:t>
      </w:r>
      <w:r>
        <w:rPr>
          <w:rFonts w:hint="eastAsia" w:ascii="宋体" w:hAnsi="宋体" w:eastAsia="宋体" w:cs="Times New Roman"/>
          <w:bCs/>
          <w:color w:val="000000"/>
          <w:kern w:val="0"/>
          <w:sz w:val="24"/>
          <w:szCs w:val="21"/>
          <w:highlight w:val="none"/>
        </w:rPr>
        <w:t>我单位郑重声明：参加本次政府采购活动前 3 年内，我单位在经营活动中没有因违法经营受到刑事处罚或者责令停产停业、吊销许可证或者执照、较大数额罚款等行政处罚。</w:t>
      </w:r>
    </w:p>
    <w:p w14:paraId="0BD2A246">
      <w:pPr>
        <w:rPr>
          <w:rFonts w:ascii="黑体" w:hAnsi="黑体" w:eastAsia="黑体" w:cs="Times New Roman"/>
          <w:i/>
          <w:color w:val="000000"/>
          <w:kern w:val="0"/>
          <w:sz w:val="32"/>
          <w:szCs w:val="32"/>
          <w:highlight w:val="none"/>
          <w:u w:val="single"/>
        </w:rPr>
      </w:pPr>
    </w:p>
    <w:p w14:paraId="2AA80058">
      <w:pPr>
        <w:rPr>
          <w:rFonts w:ascii="黑体" w:hAnsi="黑体" w:eastAsia="黑体" w:cs="Times New Roman"/>
          <w:i/>
          <w:color w:val="000000"/>
          <w:kern w:val="0"/>
          <w:sz w:val="32"/>
          <w:szCs w:val="32"/>
          <w:highlight w:val="none"/>
          <w:u w:val="single"/>
        </w:rPr>
      </w:pPr>
    </w:p>
    <w:p w14:paraId="0A21EA31">
      <w:pPr>
        <w:spacing w:line="360" w:lineRule="auto"/>
        <w:ind w:firstLine="480"/>
        <w:rPr>
          <w:rFonts w:ascii="宋体" w:hAnsi="宋体" w:eastAsia="宋体" w:cs="宋体"/>
          <w:color w:val="000000"/>
          <w:kern w:val="0"/>
          <w:sz w:val="24"/>
          <w:highlight w:val="none"/>
        </w:rPr>
      </w:pPr>
    </w:p>
    <w:p w14:paraId="52221272">
      <w:pPr>
        <w:spacing w:line="360" w:lineRule="auto"/>
        <w:ind w:firstLine="480"/>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投标人（盖章）：</w:t>
      </w:r>
    </w:p>
    <w:p w14:paraId="002A858C">
      <w:pPr>
        <w:spacing w:line="360" w:lineRule="auto"/>
        <w:ind w:firstLine="480"/>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法定代表人或委托代理人（签字或盖章）：</w:t>
      </w:r>
    </w:p>
    <w:p w14:paraId="7A51EF13">
      <w:pPr>
        <w:spacing w:line="360" w:lineRule="auto"/>
        <w:ind w:firstLine="480"/>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日期： 2025年</w:t>
      </w:r>
      <w:r>
        <w:rPr>
          <w:rFonts w:hint="eastAsia" w:ascii="宋体" w:hAnsi="宋体" w:eastAsia="宋体" w:cs="宋体"/>
          <w:color w:val="000000"/>
          <w:kern w:val="0"/>
          <w:sz w:val="24"/>
          <w:highlight w:val="none"/>
          <w:lang w:val="en-US" w:eastAsia="zh-CN"/>
        </w:rPr>
        <w:t xml:space="preserve">  </w:t>
      </w:r>
      <w:r>
        <w:rPr>
          <w:rFonts w:hint="eastAsia" w:ascii="宋体" w:hAnsi="宋体" w:eastAsia="宋体" w:cs="宋体"/>
          <w:color w:val="000000"/>
          <w:kern w:val="0"/>
          <w:sz w:val="24"/>
          <w:highlight w:val="none"/>
        </w:rPr>
        <w:t>月</w:t>
      </w:r>
      <w:r>
        <w:rPr>
          <w:rFonts w:hint="eastAsia" w:ascii="宋体" w:hAnsi="宋体" w:eastAsia="宋体" w:cs="宋体"/>
          <w:color w:val="000000"/>
          <w:kern w:val="0"/>
          <w:sz w:val="24"/>
          <w:highlight w:val="none"/>
          <w:lang w:val="en-US" w:eastAsia="zh-CN"/>
        </w:rPr>
        <w:t xml:space="preserve">   </w:t>
      </w:r>
      <w:r>
        <w:rPr>
          <w:rFonts w:hint="eastAsia" w:ascii="宋体" w:hAnsi="宋体" w:eastAsia="宋体" w:cs="宋体"/>
          <w:color w:val="000000"/>
          <w:kern w:val="0"/>
          <w:sz w:val="24"/>
          <w:highlight w:val="none"/>
        </w:rPr>
        <w:t>日</w:t>
      </w:r>
    </w:p>
    <w:p w14:paraId="344D93FB">
      <w:pPr>
        <w:rPr>
          <w:rFonts w:ascii="黑体" w:hAnsi="黑体" w:eastAsia="黑体" w:cs="Times New Roman"/>
          <w:i/>
          <w:color w:val="000000"/>
          <w:kern w:val="0"/>
          <w:sz w:val="32"/>
          <w:szCs w:val="32"/>
          <w:highlight w:val="none"/>
          <w:u w:val="single"/>
        </w:rPr>
      </w:pPr>
      <w:r>
        <w:rPr>
          <w:rFonts w:hint="eastAsia" w:ascii="黑体" w:hAnsi="黑体" w:eastAsia="黑体" w:cs="Times New Roman"/>
          <w:i/>
          <w:color w:val="000000"/>
          <w:kern w:val="0"/>
          <w:sz w:val="32"/>
          <w:szCs w:val="32"/>
          <w:highlight w:val="none"/>
          <w:u w:val="single"/>
        </w:rPr>
        <w:br w:type="page" w:clear="all"/>
      </w:r>
    </w:p>
    <w:p w14:paraId="1F32D196">
      <w:pPr>
        <w:spacing w:line="360" w:lineRule="auto"/>
        <w:jc w:val="left"/>
        <w:rPr>
          <w:rFonts w:ascii="黑体" w:hAnsi="黑体" w:eastAsia="黑体" w:cs="宋体"/>
          <w:bCs/>
          <w:color w:val="000000"/>
          <w:kern w:val="0"/>
          <w:sz w:val="36"/>
          <w:szCs w:val="28"/>
          <w:highlight w:val="none"/>
        </w:rPr>
      </w:pPr>
      <w:r>
        <w:rPr>
          <w:rFonts w:hint="eastAsia" w:ascii="黑体" w:hAnsi="黑体" w:eastAsia="黑体" w:cs="宋体"/>
          <w:bCs/>
          <w:color w:val="000000"/>
          <w:kern w:val="0"/>
          <w:sz w:val="36"/>
          <w:szCs w:val="28"/>
          <w:highlight w:val="none"/>
        </w:rPr>
        <w:t>六、特定资格要求的证明文件</w:t>
      </w:r>
    </w:p>
    <w:p w14:paraId="7B9F3351">
      <w:pPr>
        <w:spacing w:line="460" w:lineRule="exact"/>
        <w:rPr>
          <w:rFonts w:ascii="宋体" w:hAnsi="宋体" w:eastAsia="宋体" w:cs="Times New Roman"/>
          <w:bCs/>
          <w:color w:val="000000"/>
          <w:kern w:val="0"/>
          <w:sz w:val="24"/>
          <w:szCs w:val="21"/>
          <w:highlight w:val="none"/>
        </w:rPr>
      </w:pPr>
      <w:r>
        <w:rPr>
          <w:rFonts w:hint="eastAsia" w:ascii="宋体" w:hAnsi="宋体" w:eastAsia="宋体" w:cs="Times New Roman"/>
          <w:color w:val="000000"/>
          <w:kern w:val="0"/>
          <w:sz w:val="24"/>
          <w:szCs w:val="21"/>
          <w:highlight w:val="none"/>
        </w:rPr>
        <w:t xml:space="preserve">    如果本项目申请人的特定资格要求中要求提供的，必须提供。</w:t>
      </w:r>
    </w:p>
    <w:p w14:paraId="2580A3BD">
      <w:pPr>
        <w:spacing w:line="460" w:lineRule="exact"/>
        <w:rPr>
          <w:rFonts w:ascii="宋体" w:hAnsi="宋体" w:eastAsia="宋体" w:cs="Times New Roman"/>
          <w:bCs/>
          <w:color w:val="000000"/>
          <w:kern w:val="0"/>
          <w:sz w:val="24"/>
          <w:szCs w:val="21"/>
          <w:highlight w:val="none"/>
        </w:rPr>
      </w:pPr>
    </w:p>
    <w:p w14:paraId="53164022">
      <w:pPr>
        <w:spacing w:line="360" w:lineRule="auto"/>
        <w:jc w:val="center"/>
        <w:rPr>
          <w:rFonts w:ascii="黑体" w:hAnsi="黑体" w:eastAsia="黑体" w:cs="宋体"/>
          <w:bCs/>
          <w:color w:val="000000"/>
          <w:kern w:val="0"/>
          <w:sz w:val="36"/>
          <w:szCs w:val="28"/>
          <w:highlight w:val="none"/>
        </w:rPr>
      </w:pPr>
      <w:r>
        <w:rPr>
          <w:rFonts w:hint="eastAsia" w:ascii="黑体" w:hAnsi="黑体" w:eastAsia="黑体" w:cs="宋体"/>
          <w:bCs/>
          <w:color w:val="000000"/>
          <w:kern w:val="0"/>
          <w:sz w:val="36"/>
          <w:szCs w:val="28"/>
          <w:highlight w:val="none"/>
        </w:rPr>
        <w:br w:type="page" w:clear="all"/>
      </w:r>
      <w:r>
        <w:rPr>
          <w:rFonts w:hint="eastAsia" w:ascii="黑体" w:hAnsi="黑体" w:eastAsia="黑体" w:cs="宋体"/>
          <w:bCs/>
          <w:color w:val="000000"/>
          <w:kern w:val="0"/>
          <w:sz w:val="36"/>
          <w:szCs w:val="28"/>
          <w:highlight w:val="none"/>
        </w:rPr>
        <w:t>七、法人授权书</w:t>
      </w:r>
    </w:p>
    <w:p w14:paraId="17A73437">
      <w:pPr>
        <w:tabs>
          <w:tab w:val="left" w:pos="360"/>
        </w:tabs>
        <w:ind w:firstLine="480"/>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本授权书声明：____________（投标人名称）授权________________（被授权人的姓名）为我方就    </w:t>
      </w:r>
      <w:r>
        <w:rPr>
          <w:rFonts w:hint="eastAsia" w:ascii="Times New Roman" w:hAnsi="Times New Roman" w:eastAsia="宋体" w:cs="Times New Roman"/>
          <w:color w:val="000000"/>
          <w:sz w:val="24"/>
          <w:highlight w:val="none"/>
          <w:u w:val="single"/>
        </w:rPr>
        <w:t xml:space="preserve">           </w:t>
      </w:r>
      <w:r>
        <w:rPr>
          <w:rFonts w:hint="eastAsia" w:ascii="Times New Roman" w:hAnsi="Times New Roman" w:eastAsia="宋体" w:cs="Times New Roman"/>
          <w:color w:val="000000"/>
          <w:sz w:val="24"/>
          <w:highlight w:val="none"/>
        </w:rPr>
        <w:t>号项目采购活动的合法代理人，以本单位名义全权处理一切与该项目采购有关的事务。</w:t>
      </w:r>
    </w:p>
    <w:p w14:paraId="048AEFFC">
      <w:pPr>
        <w:tabs>
          <w:tab w:val="left" w:pos="360"/>
        </w:tabs>
        <w:ind w:firstLine="480"/>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本授权书于______年____月____日起生效，特此声明。</w:t>
      </w:r>
    </w:p>
    <w:p w14:paraId="61254D65">
      <w:pPr>
        <w:tabs>
          <w:tab w:val="left" w:pos="360"/>
        </w:tabs>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     </w:t>
      </w:r>
    </w:p>
    <w:p w14:paraId="6F16F408">
      <w:pPr>
        <w:tabs>
          <w:tab w:val="left" w:pos="360"/>
        </w:tabs>
        <w:rPr>
          <w:rFonts w:ascii="Times New Roman" w:hAnsi="Times New Roman" w:eastAsia="宋体" w:cs="Times New Roman"/>
          <w:color w:val="000000"/>
          <w:sz w:val="24"/>
          <w:highlight w:val="none"/>
        </w:rPr>
      </w:pPr>
    </w:p>
    <w:p w14:paraId="5E9CB6AA">
      <w:pPr>
        <w:tabs>
          <w:tab w:val="left" w:pos="360"/>
        </w:tabs>
        <w:rPr>
          <w:rFonts w:ascii="Times New Roman" w:hAnsi="Times New Roman" w:eastAsia="宋体" w:cs="Times New Roman"/>
          <w:color w:val="000000"/>
          <w:sz w:val="24"/>
          <w:highlight w:val="none"/>
          <w:u w:val="single"/>
        </w:rPr>
      </w:pPr>
      <w:r>
        <w:rPr>
          <w:rFonts w:hint="eastAsia" w:ascii="Times New Roman" w:hAnsi="Times New Roman" w:eastAsia="宋体" w:cs="Times New Roman"/>
          <w:color w:val="000000"/>
          <w:sz w:val="24"/>
          <w:highlight w:val="none"/>
        </w:rPr>
        <w:t xml:space="preserve">     被授权人身份证号码：</w:t>
      </w:r>
      <w:r>
        <w:rPr>
          <w:rFonts w:hint="eastAsia" w:ascii="Times New Roman" w:hAnsi="Times New Roman" w:eastAsia="宋体" w:cs="Times New Roman"/>
          <w:color w:val="000000"/>
          <w:sz w:val="24"/>
          <w:highlight w:val="none"/>
          <w:u w:val="single"/>
        </w:rPr>
        <w:t xml:space="preserve">                              </w:t>
      </w:r>
    </w:p>
    <w:p w14:paraId="3D1876FE">
      <w:pPr>
        <w:tabs>
          <w:tab w:val="left" w:pos="360"/>
        </w:tabs>
        <w:rPr>
          <w:rFonts w:ascii="Times New Roman" w:hAnsi="Times New Roman" w:eastAsia="宋体" w:cs="Times New Roman"/>
          <w:color w:val="000000"/>
          <w:sz w:val="24"/>
          <w:highlight w:val="none"/>
          <w:u w:val="single"/>
        </w:rPr>
      </w:pPr>
      <w:r>
        <w:rPr>
          <w:rFonts w:hint="eastAsia" w:ascii="Times New Roman" w:hAnsi="Times New Roman" w:eastAsia="宋体" w:cs="Times New Roman"/>
          <w:color w:val="000000"/>
          <w:sz w:val="24"/>
          <w:highlight w:val="none"/>
        </w:rPr>
        <w:t xml:space="preserve">      被授权人联系电话：（手机）</w:t>
      </w:r>
      <w:r>
        <w:rPr>
          <w:rFonts w:hint="eastAsia" w:ascii="Times New Roman" w:hAnsi="Times New Roman" w:eastAsia="宋体" w:cs="Times New Roman"/>
          <w:color w:val="000000"/>
          <w:sz w:val="24"/>
          <w:highlight w:val="none"/>
          <w:u w:val="single"/>
        </w:rPr>
        <w:t xml:space="preserve">                          </w:t>
      </w:r>
    </w:p>
    <w:p w14:paraId="6E99C2F1">
      <w:pPr>
        <w:tabs>
          <w:tab w:val="left" w:pos="360"/>
        </w:tabs>
        <w:ind w:firstLine="720"/>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授权单位名称：</w:t>
      </w:r>
      <w:r>
        <w:rPr>
          <w:rFonts w:hint="eastAsia" w:ascii="Times New Roman" w:hAnsi="Times New Roman" w:eastAsia="宋体" w:cs="Times New Roman"/>
          <w:color w:val="000000"/>
          <w:sz w:val="24"/>
          <w:highlight w:val="none"/>
          <w:u w:val="single"/>
        </w:rPr>
        <w:t>（加盖CA电子公章）</w:t>
      </w:r>
    </w:p>
    <w:p w14:paraId="1BD87B22">
      <w:pPr>
        <w:tabs>
          <w:tab w:val="left" w:pos="360"/>
        </w:tabs>
        <w:ind w:firstLine="480"/>
        <w:rPr>
          <w:rFonts w:ascii="Times New Roman" w:hAnsi="Times New Roman" w:eastAsia="宋体" w:cs="Times New Roman"/>
          <w:color w:val="000000"/>
          <w:sz w:val="24"/>
          <w:highlight w:val="none"/>
          <w:u w:val="single"/>
        </w:rPr>
      </w:pPr>
      <w:r>
        <w:rPr>
          <w:rFonts w:hint="eastAsia" w:ascii="Times New Roman" w:hAnsi="Times New Roman" w:eastAsia="宋体" w:cs="Times New Roman"/>
          <w:color w:val="000000"/>
          <w:sz w:val="24"/>
          <w:highlight w:val="none"/>
        </w:rPr>
        <w:t xml:space="preserve">  单位地址：</w:t>
      </w:r>
      <w:r>
        <w:rPr>
          <w:rFonts w:hint="eastAsia" w:ascii="Times New Roman" w:hAnsi="Times New Roman" w:eastAsia="宋体" w:cs="Times New Roman"/>
          <w:color w:val="000000"/>
          <w:sz w:val="24"/>
          <w:highlight w:val="none"/>
          <w:u w:val="single"/>
        </w:rPr>
        <w:t xml:space="preserve">                                         </w:t>
      </w:r>
    </w:p>
    <w:p w14:paraId="5AF88A43">
      <w:pPr>
        <w:tabs>
          <w:tab w:val="left" w:pos="360"/>
        </w:tabs>
        <w:ind w:firstLine="480"/>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  日期：</w:t>
      </w:r>
      <w:bookmarkStart w:id="153" w:name="_Hlt26955070"/>
      <w:bookmarkEnd w:id="153"/>
      <w:bookmarkStart w:id="154" w:name="_Hlt26671380"/>
      <w:bookmarkEnd w:id="154"/>
      <w:bookmarkStart w:id="155" w:name="_格式3__银行出具的资信证明"/>
      <w:bookmarkEnd w:id="155"/>
      <w:r>
        <w:rPr>
          <w:rFonts w:hint="eastAsia" w:ascii="Times New Roman" w:hAnsi="Times New Roman" w:eastAsia="宋体" w:cs="Times New Roman"/>
          <w:color w:val="000000"/>
          <w:sz w:val="24"/>
          <w:highlight w:val="none"/>
          <w:u w:val="single"/>
        </w:rPr>
        <w:t xml:space="preserve">                                         </w:t>
      </w:r>
    </w:p>
    <w:p w14:paraId="0BDD0E0D">
      <w:pPr>
        <w:ind w:firstLine="420"/>
        <w:rPr>
          <w:rFonts w:ascii="Times New Roman" w:hAnsi="Times New Roman" w:eastAsia="宋体" w:cs="Times New Roman"/>
          <w:i/>
          <w:color w:val="000000"/>
          <w:sz w:val="24"/>
          <w:highlight w:val="none"/>
          <w:u w:val="single"/>
        </w:rPr>
      </w:pPr>
    </w:p>
    <w:p w14:paraId="3A70B6CE">
      <w:pPr>
        <w:rPr>
          <w:rFonts w:ascii="Times New Roman" w:hAnsi="Times New Roman" w:eastAsia="宋体" w:cs="Times New Roman"/>
          <w:color w:val="000000"/>
          <w:szCs w:val="21"/>
          <w:highlight w:val="none"/>
        </w:rPr>
      </w:pPr>
    </w:p>
    <w:p w14:paraId="1121CB84">
      <w:pPr>
        <w:spacing w:line="460" w:lineRule="exact"/>
        <w:rPr>
          <w:rFonts w:ascii="楷体" w:hAnsi="楷体" w:eastAsia="楷体" w:cs="Times New Roman"/>
          <w:bCs/>
          <w:color w:val="000000"/>
          <w:kern w:val="0"/>
          <w:sz w:val="24"/>
          <w:highlight w:val="none"/>
        </w:rPr>
      </w:pPr>
    </w:p>
    <w:p w14:paraId="58892FCA">
      <w:pPr>
        <w:spacing w:line="460" w:lineRule="exact"/>
        <w:rPr>
          <w:rFonts w:ascii="楷体" w:hAnsi="楷体" w:eastAsia="楷体" w:cs="Times New Roman"/>
          <w:color w:val="000000"/>
          <w:kern w:val="0"/>
          <w:sz w:val="24"/>
          <w:highlight w:val="none"/>
        </w:rPr>
      </w:pPr>
      <w:r>
        <w:rPr>
          <w:rFonts w:hint="eastAsia" w:ascii="楷体" w:hAnsi="楷体" w:eastAsia="楷体" w:cs="Times New Roman"/>
          <w:bCs/>
          <w:color w:val="000000"/>
          <w:kern w:val="0"/>
          <w:sz w:val="24"/>
          <w:highlight w:val="none"/>
        </w:rPr>
        <w:t xml:space="preserve">     </w:t>
      </w:r>
      <w:r>
        <w:rPr>
          <w:rFonts w:hint="eastAsia" w:ascii="楷体" w:hAnsi="楷体" w:eastAsia="楷体" w:cs="Times New Roman"/>
          <w:color w:val="000000"/>
          <w:kern w:val="0"/>
          <w:sz w:val="24"/>
          <w:highlight w:val="none"/>
        </w:rPr>
        <w:t xml:space="preserve"> </w:t>
      </w:r>
    </w:p>
    <w:p w14:paraId="21FB3200">
      <w:pPr>
        <w:spacing w:line="460" w:lineRule="exact"/>
        <w:rPr>
          <w:rFonts w:ascii="宋体" w:hAnsi="宋体" w:eastAsia="宋体" w:cs="Times New Roman"/>
          <w:bCs/>
          <w:color w:val="000000"/>
          <w:kern w:val="0"/>
          <w:sz w:val="24"/>
          <w:szCs w:val="21"/>
          <w:highlight w:val="none"/>
        </w:rPr>
      </w:pPr>
    </w:p>
    <w:p w14:paraId="3CB9E6C4">
      <w:pPr>
        <w:keepNext/>
        <w:keepLines/>
        <w:spacing w:before="260" w:after="260" w:line="416" w:lineRule="auto"/>
        <w:ind w:firstLine="3390"/>
        <w:outlineLvl w:val="1"/>
        <w:rPr>
          <w:rFonts w:ascii="黑体" w:hAnsi="黑体" w:eastAsia="黑体" w:cs="Times New Roman"/>
          <w:b/>
          <w:i/>
          <w:color w:val="000000"/>
          <w:sz w:val="32"/>
          <w:szCs w:val="32"/>
          <w:highlight w:val="none"/>
          <w:u w:val="single"/>
        </w:rPr>
      </w:pPr>
      <w:r>
        <w:rPr>
          <w:rFonts w:ascii="宋体" w:hAnsi="宋体" w:eastAsia="幼圆" w:cs="Arial"/>
          <w:b/>
          <w:color w:val="000000"/>
          <w:sz w:val="24"/>
          <w:szCs w:val="44"/>
          <w:highlight w:val="none"/>
        </w:rPr>
        <w:br w:type="page" w:clear="all"/>
      </w:r>
      <w:r>
        <w:rPr>
          <w:rFonts w:hint="eastAsia" w:ascii="黑体" w:hAnsi="黑体" w:eastAsia="黑体" w:cs="宋体"/>
          <w:bCs/>
          <w:color w:val="000000"/>
          <w:sz w:val="36"/>
          <w:szCs w:val="28"/>
          <w:highlight w:val="none"/>
        </w:rPr>
        <w:t>八、投标函</w:t>
      </w:r>
    </w:p>
    <w:p w14:paraId="42D6D2F5">
      <w:pPr>
        <w:spacing w:line="480" w:lineRule="exact"/>
        <w:rPr>
          <w:rFonts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 xml:space="preserve">致： </w:t>
      </w:r>
    </w:p>
    <w:p w14:paraId="4667CE1B">
      <w:pPr>
        <w:spacing w:line="480" w:lineRule="exact"/>
        <w:ind w:firstLine="480"/>
        <w:rPr>
          <w:rFonts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根据贵方</w:t>
      </w:r>
      <w:r>
        <w:rPr>
          <w:rFonts w:hint="eastAsia" w:ascii="宋体" w:hAnsi="宋体" w:eastAsia="宋体" w:cs="Times New Roman"/>
          <w:color w:val="000000"/>
          <w:kern w:val="0"/>
          <w:sz w:val="24"/>
          <w:highlight w:val="none"/>
          <w:u w:val="single"/>
        </w:rPr>
        <w:t xml:space="preserve">     （项目名称）   </w:t>
      </w:r>
      <w:r>
        <w:rPr>
          <w:rFonts w:hint="eastAsia" w:ascii="宋体" w:hAnsi="宋体" w:eastAsia="宋体" w:cs="Times New Roman"/>
          <w:color w:val="000000"/>
          <w:kern w:val="0"/>
          <w:sz w:val="24"/>
          <w:highlight w:val="none"/>
        </w:rPr>
        <w:t>（标段编号：</w:t>
      </w:r>
      <w:r>
        <w:rPr>
          <w:rFonts w:hint="eastAsia" w:ascii="宋体" w:hAnsi="宋体" w:eastAsia="宋体" w:cs="Times New Roman"/>
          <w:color w:val="000000"/>
          <w:kern w:val="0"/>
          <w:sz w:val="24"/>
          <w:highlight w:val="none"/>
          <w:u w:val="single"/>
        </w:rPr>
        <w:t xml:space="preserve">       </w:t>
      </w:r>
      <w:r>
        <w:rPr>
          <w:rFonts w:hint="eastAsia" w:ascii="宋体" w:hAnsi="宋体" w:eastAsia="宋体" w:cs="Times New Roman"/>
          <w:color w:val="000000"/>
          <w:kern w:val="0"/>
          <w:sz w:val="24"/>
          <w:highlight w:val="none"/>
        </w:rPr>
        <w:t xml:space="preserve"> ）采购文件，正式授权下述签字人</w:t>
      </w:r>
      <w:r>
        <w:rPr>
          <w:rFonts w:hint="eastAsia" w:ascii="宋体" w:hAnsi="宋体" w:eastAsia="宋体" w:cs="Times New Roman"/>
          <w:color w:val="000000"/>
          <w:kern w:val="0"/>
          <w:sz w:val="24"/>
          <w:highlight w:val="none"/>
          <w:u w:val="single"/>
        </w:rPr>
        <w:t xml:space="preserve">        </w:t>
      </w:r>
      <w:r>
        <w:rPr>
          <w:rFonts w:hint="eastAsia" w:ascii="宋体" w:hAnsi="宋体" w:eastAsia="宋体" w:cs="Times New Roman"/>
          <w:color w:val="000000"/>
          <w:kern w:val="0"/>
          <w:sz w:val="24"/>
          <w:highlight w:val="none"/>
        </w:rPr>
        <w:t xml:space="preserve"> 全权代表参加贵方组织的采购活动，按照采购文件要求提交响应文件。</w:t>
      </w:r>
    </w:p>
    <w:p w14:paraId="175AB821">
      <w:pPr>
        <w:spacing w:line="480" w:lineRule="exact"/>
        <w:ind w:firstLine="480"/>
        <w:rPr>
          <w:rFonts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据此函，签字人兹宣布同意如下：</w:t>
      </w:r>
    </w:p>
    <w:p w14:paraId="0E56870F">
      <w:pPr>
        <w:spacing w:line="480" w:lineRule="exact"/>
        <w:ind w:firstLine="480"/>
        <w:rPr>
          <w:rFonts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1.按采购文件项目需求提交响应报价，报价、交货期等详见开标一览表。</w:t>
      </w:r>
    </w:p>
    <w:p w14:paraId="2887FF5A">
      <w:pPr>
        <w:spacing w:line="480" w:lineRule="exact"/>
        <w:ind w:firstLine="480"/>
        <w:rPr>
          <w:rFonts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2.我方同意在本标段采购文件中规定的响应文件递交截止之日起60天内遵守本响应文件中的承诺且在此期限期满之前均具有约束力。</w:t>
      </w:r>
    </w:p>
    <w:p w14:paraId="045BDC51">
      <w:pPr>
        <w:spacing w:line="480" w:lineRule="exact"/>
        <w:ind w:firstLine="480"/>
        <w:rPr>
          <w:rFonts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3.我方承诺已经具备《中华人民共和国政府采购法》中规定的参加政府采购活动的供应商应当具备的条件：</w:t>
      </w:r>
    </w:p>
    <w:p w14:paraId="531FC0E1">
      <w:pPr>
        <w:spacing w:line="480" w:lineRule="exact"/>
        <w:ind w:firstLine="480"/>
        <w:rPr>
          <w:rFonts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(1)具有独立承担民事责任的能力；</w:t>
      </w:r>
    </w:p>
    <w:p w14:paraId="04374D16">
      <w:pPr>
        <w:spacing w:line="480" w:lineRule="exact"/>
        <w:ind w:firstLine="480"/>
        <w:rPr>
          <w:rFonts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(2)具有良好的商业信誉和健全的财务会计制度；</w:t>
      </w:r>
    </w:p>
    <w:p w14:paraId="5894F432">
      <w:pPr>
        <w:spacing w:line="480" w:lineRule="exact"/>
        <w:ind w:firstLine="480"/>
        <w:rPr>
          <w:rFonts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(3)具有履行合同所必需的设备和专业技术能力；</w:t>
      </w:r>
    </w:p>
    <w:p w14:paraId="65690CA3">
      <w:pPr>
        <w:spacing w:line="480" w:lineRule="exact"/>
        <w:ind w:firstLine="480"/>
        <w:rPr>
          <w:rFonts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(4)有依法缴纳税收和社会保障资金的良好记录；</w:t>
      </w:r>
    </w:p>
    <w:p w14:paraId="0A16A754">
      <w:pPr>
        <w:spacing w:line="480" w:lineRule="exact"/>
        <w:ind w:firstLine="480"/>
        <w:rPr>
          <w:rFonts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(5)参加此项采购活动前三年内，在经营活动中没有重大违法记录。</w:t>
      </w:r>
    </w:p>
    <w:p w14:paraId="221DFA63">
      <w:pPr>
        <w:spacing w:line="480" w:lineRule="exact"/>
        <w:ind w:firstLine="480"/>
        <w:rPr>
          <w:rFonts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4.我方根据采购文件的规定，承担完成合同的责任和义务。</w:t>
      </w:r>
    </w:p>
    <w:p w14:paraId="731B7CA2">
      <w:pPr>
        <w:spacing w:line="480" w:lineRule="exact"/>
        <w:ind w:firstLine="480"/>
        <w:rPr>
          <w:rFonts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5.我方已详细审核采购文件，我方知道必须放弃提出含糊不清或误解问题的权利。</w:t>
      </w:r>
    </w:p>
    <w:p w14:paraId="0089366F">
      <w:pPr>
        <w:spacing w:line="480" w:lineRule="exact"/>
        <w:ind w:firstLine="480"/>
        <w:rPr>
          <w:rFonts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6.如果在响应文件有效期内撤回或者有其他违约行为，我方的保证金可被贵方全部或部分没收。</w:t>
      </w:r>
    </w:p>
    <w:p w14:paraId="2AFA033D">
      <w:pPr>
        <w:spacing w:line="480" w:lineRule="exact"/>
        <w:ind w:firstLine="480"/>
        <w:rPr>
          <w:rFonts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7.同意应贵方要求提供与本次采购活动有关的任何数据或资料。</w:t>
      </w:r>
    </w:p>
    <w:p w14:paraId="545AF681">
      <w:pPr>
        <w:spacing w:line="480" w:lineRule="exact"/>
        <w:ind w:firstLine="480"/>
        <w:rPr>
          <w:rFonts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8.我方完全理解，最低报价不是中标（成交）的唯一条件。</w:t>
      </w:r>
    </w:p>
    <w:p w14:paraId="40AF92CF">
      <w:pPr>
        <w:spacing w:line="480" w:lineRule="exact"/>
        <w:ind w:firstLine="480"/>
        <w:rPr>
          <w:rFonts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9.若贵方需要，我方愿意提供我方作出的一切承诺的证明材料。</w:t>
      </w:r>
    </w:p>
    <w:p w14:paraId="2A9FEC90">
      <w:pPr>
        <w:spacing w:line="480" w:lineRule="exact"/>
        <w:ind w:firstLine="480"/>
        <w:rPr>
          <w:rFonts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5443103A">
      <w:pPr>
        <w:spacing w:line="480" w:lineRule="exact"/>
        <w:ind w:firstLine="480"/>
        <w:rPr>
          <w:rFonts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(1)提供虚假材料谋取中标、成交的；</w:t>
      </w:r>
    </w:p>
    <w:p w14:paraId="2BD25897">
      <w:pPr>
        <w:spacing w:line="480" w:lineRule="exact"/>
        <w:ind w:firstLine="480"/>
        <w:rPr>
          <w:rFonts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(2)采取不正当手段诋毁、排挤其他供应商的；</w:t>
      </w:r>
    </w:p>
    <w:p w14:paraId="3F9D5253">
      <w:pPr>
        <w:spacing w:line="480" w:lineRule="exact"/>
        <w:ind w:firstLine="480"/>
        <w:rPr>
          <w:rFonts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(3)与采购人、其他供应商或者采购代理机构恶意串通的；</w:t>
      </w:r>
    </w:p>
    <w:p w14:paraId="116C2035">
      <w:pPr>
        <w:spacing w:line="480" w:lineRule="exact"/>
        <w:ind w:firstLine="480"/>
        <w:rPr>
          <w:rFonts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(4)向采购人、采购代理机构行贿或者提供其他不正当利益的；</w:t>
      </w:r>
    </w:p>
    <w:p w14:paraId="7C1C53DD">
      <w:pPr>
        <w:spacing w:line="480" w:lineRule="exact"/>
        <w:ind w:firstLine="480"/>
        <w:rPr>
          <w:rFonts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(5)在招标采购过程中与采购人进行协商谈判的；</w:t>
      </w:r>
    </w:p>
    <w:p w14:paraId="65CA317B">
      <w:pPr>
        <w:spacing w:line="480" w:lineRule="exact"/>
        <w:ind w:firstLine="480"/>
        <w:rPr>
          <w:rFonts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(6)拒绝有关部门监督检查或提供虚假情况的。</w:t>
      </w:r>
    </w:p>
    <w:p w14:paraId="18D9209D">
      <w:pPr>
        <w:spacing w:line="480" w:lineRule="exact"/>
        <w:ind w:firstLine="480"/>
        <w:rPr>
          <w:rFonts w:ascii="宋体" w:hAnsi="宋体" w:eastAsia="宋体" w:cs="Times New Roman"/>
          <w:color w:val="000000"/>
          <w:kern w:val="0"/>
          <w:sz w:val="24"/>
          <w:highlight w:val="none"/>
        </w:rPr>
      </w:pPr>
    </w:p>
    <w:p w14:paraId="5CC4F436">
      <w:pPr>
        <w:spacing w:line="480" w:lineRule="exact"/>
        <w:ind w:firstLine="480"/>
        <w:rPr>
          <w:rFonts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法定代表人或其委托代理人签字（或盖章）： 　　</w:t>
      </w:r>
    </w:p>
    <w:p w14:paraId="0AD998E8">
      <w:pPr>
        <w:spacing w:line="480" w:lineRule="exact"/>
        <w:ind w:firstLine="480"/>
        <w:rPr>
          <w:rFonts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 xml:space="preserve">供应商公章： </w:t>
      </w:r>
    </w:p>
    <w:p w14:paraId="58CBB53A">
      <w:pPr>
        <w:spacing w:line="480" w:lineRule="exact"/>
        <w:ind w:firstLine="480"/>
        <w:rPr>
          <w:rFonts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 xml:space="preserve">日期： </w:t>
      </w:r>
    </w:p>
    <w:p w14:paraId="19F44DB6">
      <w:pPr>
        <w:spacing w:line="480" w:lineRule="exact"/>
        <w:ind w:firstLine="420"/>
        <w:rPr>
          <w:rFonts w:ascii="宋体" w:hAnsi="宋体" w:eastAsia="宋体" w:cs="Times New Roman"/>
          <w:color w:val="000000"/>
          <w:kern w:val="0"/>
          <w:highlight w:val="none"/>
        </w:rPr>
      </w:pPr>
    </w:p>
    <w:p w14:paraId="4C55F836">
      <w:pPr>
        <w:spacing w:line="480" w:lineRule="exact"/>
        <w:ind w:firstLine="420"/>
        <w:rPr>
          <w:rFonts w:ascii="宋体" w:hAnsi="宋体" w:eastAsia="宋体" w:cs="宋体"/>
          <w:color w:val="000000"/>
          <w:kern w:val="0"/>
          <w:sz w:val="36"/>
          <w:szCs w:val="36"/>
          <w:highlight w:val="none"/>
          <w:lang w:val="zh-CN"/>
        </w:rPr>
      </w:pPr>
      <w:r>
        <w:rPr>
          <w:rFonts w:hint="eastAsia" w:ascii="宋体" w:hAnsi="宋体" w:eastAsia="宋体" w:cs="Times New Roman"/>
          <w:color w:val="000000"/>
          <w:kern w:val="0"/>
          <w:highlight w:val="none"/>
        </w:rPr>
        <w:t>注：未按照本响应函的格式要求填写的，将造成非实质响应，从而导致该供应商响应无效。</w:t>
      </w:r>
    </w:p>
    <w:p w14:paraId="19201932">
      <w:pPr>
        <w:spacing w:line="560" w:lineRule="exact"/>
        <w:ind w:firstLine="240"/>
        <w:jc w:val="center"/>
        <w:rPr>
          <w:rFonts w:ascii="宋体" w:hAnsi="宋体" w:eastAsia="宋体" w:cs="Times New Roman"/>
          <w:bCs/>
          <w:color w:val="000000"/>
          <w:kern w:val="0"/>
          <w:sz w:val="24"/>
          <w:szCs w:val="21"/>
          <w:highlight w:val="none"/>
        </w:rPr>
      </w:pPr>
    </w:p>
    <w:p w14:paraId="7F734404">
      <w:pPr>
        <w:spacing w:line="560" w:lineRule="exact"/>
        <w:ind w:firstLine="240"/>
        <w:jc w:val="center"/>
        <w:rPr>
          <w:rFonts w:ascii="宋体" w:hAnsi="宋体" w:eastAsia="宋体" w:cs="Times New Roman"/>
          <w:bCs/>
          <w:color w:val="000000"/>
          <w:kern w:val="0"/>
          <w:sz w:val="24"/>
          <w:szCs w:val="21"/>
          <w:highlight w:val="none"/>
        </w:rPr>
      </w:pPr>
    </w:p>
    <w:p w14:paraId="040537C8">
      <w:pPr>
        <w:spacing w:line="560" w:lineRule="exact"/>
        <w:ind w:firstLine="240"/>
        <w:jc w:val="center"/>
        <w:rPr>
          <w:rFonts w:ascii="宋体" w:hAnsi="宋体" w:eastAsia="宋体" w:cs="Times New Roman"/>
          <w:bCs/>
          <w:color w:val="000000"/>
          <w:kern w:val="0"/>
          <w:sz w:val="24"/>
          <w:szCs w:val="21"/>
          <w:highlight w:val="none"/>
        </w:rPr>
      </w:pPr>
    </w:p>
    <w:p w14:paraId="57399D8A">
      <w:pPr>
        <w:spacing w:line="560" w:lineRule="exact"/>
        <w:ind w:firstLine="240"/>
        <w:jc w:val="center"/>
        <w:rPr>
          <w:rFonts w:ascii="宋体" w:hAnsi="宋体" w:eastAsia="宋体" w:cs="Times New Roman"/>
          <w:bCs/>
          <w:color w:val="000000"/>
          <w:kern w:val="0"/>
          <w:sz w:val="24"/>
          <w:szCs w:val="21"/>
          <w:highlight w:val="none"/>
        </w:rPr>
      </w:pPr>
    </w:p>
    <w:p w14:paraId="585DA593">
      <w:pPr>
        <w:spacing w:line="560" w:lineRule="exact"/>
        <w:ind w:firstLine="240"/>
        <w:jc w:val="center"/>
        <w:rPr>
          <w:rFonts w:ascii="宋体" w:hAnsi="宋体" w:eastAsia="宋体" w:cs="Times New Roman"/>
          <w:bCs/>
          <w:color w:val="000000"/>
          <w:kern w:val="0"/>
          <w:sz w:val="24"/>
          <w:szCs w:val="21"/>
          <w:highlight w:val="none"/>
        </w:rPr>
      </w:pPr>
    </w:p>
    <w:p w14:paraId="1BA5EE91">
      <w:pPr>
        <w:spacing w:line="460" w:lineRule="exact"/>
        <w:jc w:val="center"/>
        <w:rPr>
          <w:rFonts w:ascii="黑体" w:hAnsi="黑体" w:eastAsia="黑体" w:cs="Times New Roman"/>
          <w:b/>
          <w:color w:val="000000"/>
          <w:kern w:val="0"/>
          <w:sz w:val="32"/>
          <w:szCs w:val="32"/>
          <w:highlight w:val="none"/>
        </w:rPr>
      </w:pPr>
      <w:r>
        <w:rPr>
          <w:rFonts w:ascii="黑体" w:hAnsi="黑体" w:eastAsia="黑体" w:cs="Times New Roman"/>
          <w:b/>
          <w:color w:val="000000"/>
          <w:kern w:val="0"/>
          <w:sz w:val="32"/>
          <w:szCs w:val="32"/>
          <w:highlight w:val="none"/>
        </w:rPr>
        <w:br w:type="page" w:clear="all"/>
      </w:r>
    </w:p>
    <w:p w14:paraId="47BDF54F">
      <w:pPr>
        <w:spacing w:line="460" w:lineRule="exact"/>
        <w:jc w:val="center"/>
        <w:rPr>
          <w:rFonts w:ascii="黑体" w:hAnsi="黑体" w:eastAsia="黑体" w:cs="Times New Roman"/>
          <w:b/>
          <w:color w:val="000000"/>
          <w:kern w:val="0"/>
          <w:sz w:val="32"/>
          <w:szCs w:val="32"/>
          <w:highlight w:val="none"/>
        </w:rPr>
      </w:pPr>
      <w:r>
        <w:rPr>
          <w:rFonts w:hint="eastAsia" w:ascii="黑体" w:hAnsi="黑体" w:eastAsia="黑体" w:cs="Times New Roman"/>
          <w:b/>
          <w:color w:val="000000"/>
          <w:kern w:val="0"/>
          <w:sz w:val="32"/>
          <w:szCs w:val="32"/>
          <w:highlight w:val="none"/>
        </w:rPr>
        <w:t xml:space="preserve">九、中小企业声明函（服务） </w:t>
      </w:r>
    </w:p>
    <w:p w14:paraId="5D78C039">
      <w:pPr>
        <w:spacing w:line="560" w:lineRule="exact"/>
        <w:ind w:firstLine="360"/>
        <w:rPr>
          <w:rFonts w:ascii="宋体" w:hAnsi="宋体" w:eastAsia="宋体" w:cs="Times New Roman"/>
          <w:color w:val="000000"/>
          <w:kern w:val="0"/>
          <w:sz w:val="24"/>
          <w:highlight w:val="none"/>
        </w:rPr>
      </w:pPr>
    </w:p>
    <w:p w14:paraId="7C733374">
      <w:pPr>
        <w:spacing w:line="560" w:lineRule="exact"/>
        <w:ind w:firstLine="360"/>
        <w:rPr>
          <w:rFonts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本公司（   ）郑重声明，根据《政府采购促进中小企业发展管理办法》（财库﹝2020﹞46 号）的规定，本公司（  ）参加</w:t>
      </w:r>
      <w:r>
        <w:rPr>
          <w:rFonts w:hint="eastAsia" w:ascii="宋体" w:hAnsi="宋体" w:eastAsia="宋体" w:cs="Times New Roman"/>
          <w:color w:val="000000"/>
          <w:kern w:val="0"/>
          <w:sz w:val="24"/>
          <w:highlight w:val="none"/>
          <w:u w:val="single"/>
        </w:rPr>
        <w:t>（单位名称）</w:t>
      </w:r>
      <w:r>
        <w:rPr>
          <w:rFonts w:hint="eastAsia" w:ascii="宋体" w:hAnsi="宋体" w:eastAsia="宋体" w:cs="Times New Roman"/>
          <w:color w:val="000000"/>
          <w:kern w:val="0"/>
          <w:sz w:val="24"/>
          <w:highlight w:val="none"/>
        </w:rPr>
        <w:t>的</w:t>
      </w:r>
      <w:r>
        <w:rPr>
          <w:rFonts w:hint="eastAsia" w:ascii="宋体" w:hAnsi="宋体" w:eastAsia="宋体" w:cs="Times New Roman"/>
          <w:color w:val="000000"/>
          <w:kern w:val="0"/>
          <w:sz w:val="24"/>
          <w:highlight w:val="none"/>
          <w:u w:val="single"/>
        </w:rPr>
        <w:t>（项目名称）</w:t>
      </w:r>
      <w:r>
        <w:rPr>
          <w:rFonts w:hint="eastAsia" w:ascii="宋体" w:hAnsi="宋体" w:eastAsia="宋体" w:cs="Times New Roman"/>
          <w:color w:val="000000"/>
          <w:kern w:val="0"/>
          <w:sz w:val="24"/>
          <w:highlight w:val="none"/>
        </w:rPr>
        <w:t>采购活动，服务全部由符合政策要求的中小企业承接。相关企业（含中的中小企业、签订分包意向协议的中小企业）的具体情况如下：</w:t>
      </w:r>
    </w:p>
    <w:p w14:paraId="6A89E6CB">
      <w:pPr>
        <w:widowControl/>
        <w:spacing w:line="360" w:lineRule="auto"/>
        <w:jc w:val="left"/>
        <w:rPr>
          <w:rFonts w:ascii="宋体" w:hAnsi="宋体" w:eastAsia="宋体" w:cs="Times New Roman"/>
          <w:color w:val="000000"/>
          <w:kern w:val="0"/>
          <w:sz w:val="24"/>
          <w:highlight w:val="none"/>
          <w:u w:val="single"/>
        </w:rPr>
      </w:pPr>
      <w:r>
        <w:rPr>
          <w:rFonts w:hint="eastAsia" w:ascii="宋体" w:hAnsi="宋体" w:eastAsia="宋体" w:cs="Times New Roman"/>
          <w:color w:val="000000"/>
          <w:kern w:val="0"/>
          <w:sz w:val="24"/>
          <w:highlight w:val="none"/>
        </w:rPr>
        <w:t>1.</w:t>
      </w:r>
      <w:r>
        <w:rPr>
          <w:rFonts w:hint="eastAsia" w:ascii="宋体" w:hAnsi="宋体" w:eastAsia="宋体" w:cs="Times New Roman"/>
          <w:color w:val="000000"/>
          <w:kern w:val="0"/>
          <w:sz w:val="24"/>
          <w:highlight w:val="none"/>
          <w:u w:val="single"/>
        </w:rPr>
        <w:t>（标的名称）</w:t>
      </w:r>
      <w:r>
        <w:rPr>
          <w:rFonts w:hint="eastAsia" w:ascii="宋体" w:hAnsi="宋体" w:eastAsia="宋体" w:cs="Times New Roman"/>
          <w:i/>
          <w:color w:val="000000"/>
          <w:kern w:val="0"/>
          <w:sz w:val="24"/>
          <w:highlight w:val="none"/>
        </w:rPr>
        <w:t>，</w:t>
      </w:r>
      <w:r>
        <w:rPr>
          <w:rFonts w:hint="eastAsia" w:ascii="宋体" w:hAnsi="宋体" w:eastAsia="宋体" w:cs="Times New Roman"/>
          <w:color w:val="000000"/>
          <w:kern w:val="0"/>
          <w:sz w:val="24"/>
          <w:highlight w:val="none"/>
        </w:rPr>
        <w:t>属于</w:t>
      </w:r>
      <w:r>
        <w:rPr>
          <w:rFonts w:hint="eastAsia" w:ascii="宋体" w:hAnsi="宋体" w:eastAsia="宋体" w:cs="Times New Roman"/>
          <w:color w:val="000000"/>
          <w:kern w:val="0"/>
          <w:sz w:val="24"/>
          <w:highlight w:val="none"/>
          <w:u w:val="single"/>
        </w:rPr>
        <w:t xml:space="preserve"> （采购文件中明确的所属行业） </w:t>
      </w:r>
      <w:r>
        <w:rPr>
          <w:rFonts w:hint="eastAsia" w:ascii="宋体" w:hAnsi="宋体" w:eastAsia="宋体" w:cs="Times New Roman"/>
          <w:color w:val="000000"/>
          <w:kern w:val="0"/>
          <w:sz w:val="24"/>
          <w:highlight w:val="none"/>
        </w:rPr>
        <w:t>行业；承接企业为</w:t>
      </w:r>
      <w:r>
        <w:rPr>
          <w:rFonts w:hint="eastAsia" w:ascii="宋体" w:hAnsi="宋体" w:eastAsia="宋体" w:cs="Times New Roman"/>
          <w:color w:val="000000"/>
          <w:kern w:val="0"/>
          <w:sz w:val="24"/>
          <w:highlight w:val="none"/>
          <w:u w:val="single"/>
        </w:rPr>
        <w:t>（企业名称）</w:t>
      </w:r>
      <w:r>
        <w:rPr>
          <w:rFonts w:hint="eastAsia" w:ascii="宋体" w:hAnsi="宋体" w:eastAsia="宋体" w:cs="Times New Roman"/>
          <w:color w:val="000000"/>
          <w:kern w:val="0"/>
          <w:sz w:val="24"/>
          <w:highlight w:val="none"/>
        </w:rPr>
        <w:t>，从业人员</w:t>
      </w:r>
      <w:r>
        <w:rPr>
          <w:rFonts w:hint="eastAsia" w:ascii="宋体" w:hAnsi="宋体" w:eastAsia="宋体" w:cs="Times New Roman"/>
          <w:color w:val="000000"/>
          <w:kern w:val="0"/>
          <w:sz w:val="24"/>
          <w:highlight w:val="none"/>
          <w:u w:val="single"/>
        </w:rPr>
        <w:t xml:space="preserve">      </w:t>
      </w:r>
      <w:r>
        <w:rPr>
          <w:rFonts w:hint="eastAsia" w:ascii="宋体" w:hAnsi="宋体" w:eastAsia="宋体" w:cs="Times New Roman"/>
          <w:color w:val="000000"/>
          <w:kern w:val="0"/>
          <w:sz w:val="24"/>
          <w:highlight w:val="none"/>
        </w:rPr>
        <w:t>人，营业收入为</w:t>
      </w:r>
      <w:r>
        <w:rPr>
          <w:rFonts w:hint="eastAsia" w:ascii="宋体" w:hAnsi="宋体" w:eastAsia="宋体" w:cs="Times New Roman"/>
          <w:color w:val="000000"/>
          <w:kern w:val="0"/>
          <w:sz w:val="24"/>
          <w:highlight w:val="none"/>
          <w:u w:val="single"/>
        </w:rPr>
        <w:t xml:space="preserve">     </w:t>
      </w:r>
      <w:r>
        <w:rPr>
          <w:rFonts w:hint="eastAsia" w:ascii="宋体" w:hAnsi="宋体" w:eastAsia="宋体" w:cs="Times New Roman"/>
          <w:color w:val="000000"/>
          <w:kern w:val="0"/>
          <w:sz w:val="24"/>
          <w:highlight w:val="none"/>
        </w:rPr>
        <w:t>万元，资产总额为</w:t>
      </w:r>
      <w:r>
        <w:rPr>
          <w:rFonts w:hint="eastAsia" w:ascii="宋体" w:hAnsi="宋体" w:eastAsia="宋体" w:cs="Times New Roman"/>
          <w:color w:val="000000"/>
          <w:kern w:val="0"/>
          <w:sz w:val="24"/>
          <w:highlight w:val="none"/>
          <w:u w:val="single"/>
        </w:rPr>
        <w:t xml:space="preserve">      </w:t>
      </w:r>
      <w:r>
        <w:rPr>
          <w:rFonts w:hint="eastAsia" w:ascii="宋体" w:hAnsi="宋体" w:eastAsia="宋体" w:cs="Times New Roman"/>
          <w:color w:val="000000"/>
          <w:kern w:val="0"/>
          <w:sz w:val="24"/>
          <w:highlight w:val="none"/>
        </w:rPr>
        <w:t>万元</w:t>
      </w:r>
      <w:r>
        <w:rPr>
          <w:rFonts w:hint="eastAsia" w:ascii="宋体" w:hAnsi="宋体" w:eastAsia="宋体" w:cs="Times New Roman"/>
          <w:color w:val="000000"/>
          <w:kern w:val="0"/>
          <w:sz w:val="24"/>
          <w:highlight w:val="none"/>
          <w:vertAlign w:val="superscript"/>
        </w:rPr>
        <w:t>1</w:t>
      </w:r>
      <w:r>
        <w:rPr>
          <w:rFonts w:hint="eastAsia" w:ascii="宋体" w:hAnsi="宋体" w:eastAsia="宋体" w:cs="Times New Roman"/>
          <w:color w:val="000000"/>
          <w:kern w:val="0"/>
          <w:sz w:val="24"/>
          <w:highlight w:val="none"/>
        </w:rPr>
        <w:t>，</w:t>
      </w:r>
      <w:r>
        <w:rPr>
          <w:rFonts w:hint="eastAsia" w:ascii="宋体" w:hAnsi="宋体" w:eastAsia="宋体" w:cs="Times New Roman"/>
          <w:color w:val="000000"/>
          <w:kern w:val="0"/>
          <w:sz w:val="24"/>
          <w:highlight w:val="none"/>
          <w:u w:val="single"/>
        </w:rPr>
        <w:t>属于（中型企业小型企业、微型企业）；</w:t>
      </w:r>
    </w:p>
    <w:p w14:paraId="4767EB1D">
      <w:pPr>
        <w:spacing w:line="360" w:lineRule="auto"/>
        <w:rPr>
          <w:rFonts w:ascii="宋体" w:hAnsi="宋体" w:eastAsia="宋体" w:cs="Times New Roman"/>
          <w:i/>
          <w:color w:val="000000"/>
          <w:kern w:val="0"/>
          <w:sz w:val="24"/>
          <w:highlight w:val="none"/>
          <w:u w:val="single"/>
        </w:rPr>
      </w:pPr>
      <w:r>
        <w:rPr>
          <w:rFonts w:hint="eastAsia" w:ascii="宋体" w:hAnsi="宋体" w:eastAsia="宋体" w:cs="Times New Roman"/>
          <w:color w:val="000000"/>
          <w:kern w:val="0"/>
          <w:sz w:val="24"/>
          <w:highlight w:val="none"/>
        </w:rPr>
        <w:t>2.</w:t>
      </w:r>
      <w:r>
        <w:rPr>
          <w:rFonts w:hint="eastAsia" w:ascii="宋体" w:hAnsi="宋体" w:eastAsia="宋体" w:cs="Times New Roman"/>
          <w:color w:val="000000"/>
          <w:kern w:val="0"/>
          <w:sz w:val="24"/>
          <w:highlight w:val="none"/>
          <w:u w:val="single"/>
        </w:rPr>
        <w:t>（标的名称）</w:t>
      </w:r>
      <w:r>
        <w:rPr>
          <w:rFonts w:hint="eastAsia" w:ascii="宋体" w:hAnsi="宋体" w:eastAsia="宋体" w:cs="Times New Roman"/>
          <w:i/>
          <w:color w:val="000000"/>
          <w:kern w:val="0"/>
          <w:sz w:val="24"/>
          <w:highlight w:val="none"/>
        </w:rPr>
        <w:t>，</w:t>
      </w:r>
      <w:r>
        <w:rPr>
          <w:rFonts w:hint="eastAsia" w:ascii="宋体" w:hAnsi="宋体" w:eastAsia="宋体" w:cs="Times New Roman"/>
          <w:color w:val="000000"/>
          <w:kern w:val="0"/>
          <w:sz w:val="24"/>
          <w:highlight w:val="none"/>
        </w:rPr>
        <w:t>属于</w:t>
      </w:r>
      <w:r>
        <w:rPr>
          <w:rFonts w:hint="eastAsia" w:ascii="宋体" w:hAnsi="宋体" w:eastAsia="宋体" w:cs="Times New Roman"/>
          <w:color w:val="000000"/>
          <w:kern w:val="0"/>
          <w:sz w:val="24"/>
          <w:highlight w:val="none"/>
          <w:u w:val="single"/>
        </w:rPr>
        <w:t xml:space="preserve">       </w:t>
      </w:r>
      <w:r>
        <w:rPr>
          <w:rFonts w:hint="eastAsia" w:ascii="宋体" w:hAnsi="宋体" w:eastAsia="宋体" w:cs="Times New Roman"/>
          <w:color w:val="000000"/>
          <w:kern w:val="0"/>
          <w:sz w:val="24"/>
          <w:highlight w:val="none"/>
        </w:rPr>
        <w:t>行业；承接企业为</w:t>
      </w:r>
      <w:r>
        <w:rPr>
          <w:rFonts w:hint="eastAsia" w:ascii="宋体" w:hAnsi="宋体" w:eastAsia="宋体" w:cs="Times New Roman"/>
          <w:color w:val="000000"/>
          <w:kern w:val="0"/>
          <w:sz w:val="24"/>
          <w:highlight w:val="none"/>
          <w:u w:val="single"/>
        </w:rPr>
        <w:t>（企业名称）</w:t>
      </w:r>
      <w:r>
        <w:rPr>
          <w:rFonts w:hint="eastAsia" w:ascii="宋体" w:hAnsi="宋体" w:eastAsia="宋体" w:cs="Times New Roman"/>
          <w:color w:val="000000"/>
          <w:kern w:val="0"/>
          <w:sz w:val="24"/>
          <w:highlight w:val="none"/>
        </w:rPr>
        <w:t>，从业人员</w:t>
      </w:r>
      <w:r>
        <w:rPr>
          <w:rFonts w:hint="eastAsia" w:ascii="宋体" w:hAnsi="宋体" w:eastAsia="宋体" w:cs="Times New Roman"/>
          <w:color w:val="000000"/>
          <w:kern w:val="0"/>
          <w:sz w:val="24"/>
          <w:highlight w:val="none"/>
          <w:u w:val="single"/>
        </w:rPr>
        <w:t xml:space="preserve">      </w:t>
      </w:r>
      <w:r>
        <w:rPr>
          <w:rFonts w:hint="eastAsia" w:ascii="宋体" w:hAnsi="宋体" w:eastAsia="宋体" w:cs="Times New Roman"/>
          <w:color w:val="000000"/>
          <w:kern w:val="0"/>
          <w:sz w:val="24"/>
          <w:highlight w:val="none"/>
        </w:rPr>
        <w:t>人，营业收入为</w:t>
      </w:r>
      <w:r>
        <w:rPr>
          <w:rFonts w:hint="eastAsia" w:ascii="宋体" w:hAnsi="宋体" w:eastAsia="宋体" w:cs="Times New Roman"/>
          <w:color w:val="000000"/>
          <w:kern w:val="0"/>
          <w:sz w:val="24"/>
          <w:highlight w:val="none"/>
          <w:u w:val="single"/>
        </w:rPr>
        <w:t xml:space="preserve">     </w:t>
      </w:r>
      <w:r>
        <w:rPr>
          <w:rFonts w:hint="eastAsia" w:ascii="宋体" w:hAnsi="宋体" w:eastAsia="宋体" w:cs="Times New Roman"/>
          <w:color w:val="000000"/>
          <w:kern w:val="0"/>
          <w:sz w:val="24"/>
          <w:highlight w:val="none"/>
        </w:rPr>
        <w:t>万元，资产总额为</w:t>
      </w:r>
      <w:r>
        <w:rPr>
          <w:rFonts w:hint="eastAsia" w:ascii="宋体" w:hAnsi="宋体" w:eastAsia="宋体" w:cs="Times New Roman"/>
          <w:color w:val="000000"/>
          <w:kern w:val="0"/>
          <w:sz w:val="24"/>
          <w:highlight w:val="none"/>
          <w:u w:val="single"/>
        </w:rPr>
        <w:t xml:space="preserve">      </w:t>
      </w:r>
      <w:r>
        <w:rPr>
          <w:rFonts w:hint="eastAsia" w:ascii="宋体" w:hAnsi="宋体" w:eastAsia="宋体" w:cs="Times New Roman"/>
          <w:color w:val="000000"/>
          <w:kern w:val="0"/>
          <w:sz w:val="24"/>
          <w:highlight w:val="none"/>
        </w:rPr>
        <w:t>万元</w:t>
      </w:r>
      <w:r>
        <w:rPr>
          <w:rFonts w:hint="eastAsia" w:ascii="宋体" w:hAnsi="宋体" w:eastAsia="宋体" w:cs="Times New Roman"/>
          <w:color w:val="000000"/>
          <w:kern w:val="0"/>
          <w:sz w:val="24"/>
          <w:highlight w:val="none"/>
          <w:vertAlign w:val="superscript"/>
        </w:rPr>
        <w:t>1</w:t>
      </w:r>
      <w:r>
        <w:rPr>
          <w:rFonts w:hint="eastAsia" w:ascii="宋体" w:hAnsi="宋体" w:eastAsia="宋体" w:cs="Times New Roman"/>
          <w:color w:val="000000"/>
          <w:kern w:val="0"/>
          <w:sz w:val="24"/>
          <w:highlight w:val="none"/>
        </w:rPr>
        <w:t>，属于</w:t>
      </w:r>
      <w:r>
        <w:rPr>
          <w:rFonts w:hint="eastAsia" w:ascii="宋体" w:hAnsi="宋体" w:eastAsia="宋体" w:cs="Times New Roman"/>
          <w:color w:val="000000"/>
          <w:kern w:val="0"/>
          <w:sz w:val="24"/>
          <w:highlight w:val="none"/>
          <w:u w:val="single"/>
        </w:rPr>
        <w:t>（小型企业、微型企业）；</w:t>
      </w:r>
    </w:p>
    <w:p w14:paraId="78B38A8D">
      <w:pPr>
        <w:spacing w:line="560" w:lineRule="exact"/>
        <w:ind w:firstLine="360"/>
        <w:rPr>
          <w:rFonts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w:t>
      </w:r>
    </w:p>
    <w:p w14:paraId="1AD74D51">
      <w:pPr>
        <w:spacing w:line="560" w:lineRule="exact"/>
        <w:ind w:firstLine="360"/>
        <w:rPr>
          <w:rFonts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以上企业，不属于大企业的分支机构，不存在控股股东为大企业的情形，也不存在与大企业的负责人为同一人的情形。</w:t>
      </w:r>
    </w:p>
    <w:p w14:paraId="50BDED46">
      <w:pPr>
        <w:spacing w:line="560" w:lineRule="exact"/>
        <w:ind w:firstLine="360"/>
        <w:rPr>
          <w:rFonts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本企业对上述声明内容的真实性负责。如有虚假，将依法承担相应责任</w:t>
      </w:r>
    </w:p>
    <w:p w14:paraId="21446FE5">
      <w:pPr>
        <w:spacing w:line="560" w:lineRule="exact"/>
        <w:ind w:right="720"/>
        <w:rPr>
          <w:rFonts w:ascii="宋体" w:hAnsi="宋体" w:eastAsia="宋体" w:cs="Times New Roman"/>
          <w:color w:val="000000"/>
          <w:kern w:val="0"/>
          <w:sz w:val="24"/>
          <w:highlight w:val="none"/>
        </w:rPr>
      </w:pPr>
    </w:p>
    <w:p w14:paraId="59857962">
      <w:pPr>
        <w:spacing w:line="560" w:lineRule="exact"/>
        <w:ind w:right="180" w:firstLine="360"/>
        <w:jc w:val="right"/>
        <w:rPr>
          <w:rFonts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企业名称（加盖CA电子公章）：</w:t>
      </w:r>
    </w:p>
    <w:p w14:paraId="708E9298">
      <w:pPr>
        <w:spacing w:line="560" w:lineRule="exact"/>
        <w:ind w:right="480" w:firstLine="5400"/>
        <w:rPr>
          <w:rFonts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日  期：</w:t>
      </w:r>
    </w:p>
    <w:p w14:paraId="289AC3F0">
      <w:pPr>
        <w:spacing w:line="560" w:lineRule="exact"/>
        <w:ind w:firstLine="240"/>
        <w:rPr>
          <w:rFonts w:ascii="宋体" w:hAnsi="宋体" w:eastAsia="宋体" w:cs="Times New Roman"/>
          <w:color w:val="000000"/>
          <w:kern w:val="0"/>
          <w:sz w:val="24"/>
          <w:highlight w:val="none"/>
        </w:rPr>
      </w:pPr>
    </w:p>
    <w:p w14:paraId="545B8542">
      <w:pPr>
        <w:spacing w:line="560" w:lineRule="exact"/>
        <w:ind w:firstLine="480"/>
        <w:rPr>
          <w:rFonts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备注1：从业人员、营业收入、资产总额填报上一年度数据，无上一年度数据的新成立企业可不填报。</w:t>
      </w:r>
    </w:p>
    <w:p w14:paraId="56142239">
      <w:pPr>
        <w:spacing w:line="560" w:lineRule="exact"/>
        <w:ind w:firstLine="480"/>
        <w:rPr>
          <w:rFonts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备注2：供应商如不提供此声明函，价格将不做相应扣除。</w:t>
      </w:r>
    </w:p>
    <w:p w14:paraId="5D71B81A">
      <w:pPr>
        <w:spacing w:line="460" w:lineRule="exact"/>
        <w:jc w:val="center"/>
        <w:rPr>
          <w:rFonts w:ascii="黑体" w:hAnsi="黑体" w:eastAsia="黑体" w:cs="Times New Roman"/>
          <w:b/>
          <w:color w:val="000000"/>
          <w:kern w:val="0"/>
          <w:sz w:val="32"/>
          <w:szCs w:val="32"/>
          <w:highlight w:val="none"/>
        </w:rPr>
      </w:pPr>
      <w:r>
        <w:rPr>
          <w:rFonts w:ascii="黑体" w:hAnsi="黑体" w:eastAsia="黑体" w:cs="Times New Roman"/>
          <w:b/>
          <w:color w:val="000000"/>
          <w:kern w:val="0"/>
          <w:sz w:val="32"/>
          <w:szCs w:val="32"/>
          <w:highlight w:val="none"/>
        </w:rPr>
        <w:br w:type="page" w:clear="all"/>
      </w:r>
      <w:r>
        <w:rPr>
          <w:rFonts w:hint="eastAsia" w:ascii="黑体" w:hAnsi="黑体" w:eastAsia="黑体" w:cs="Times New Roman"/>
          <w:b/>
          <w:color w:val="000000"/>
          <w:kern w:val="0"/>
          <w:sz w:val="32"/>
          <w:szCs w:val="32"/>
          <w:highlight w:val="none"/>
        </w:rPr>
        <w:t>十、残疾人福利性单位声明函</w:t>
      </w:r>
    </w:p>
    <w:p w14:paraId="6EB09DA7">
      <w:pPr>
        <w:spacing w:line="588" w:lineRule="exact"/>
        <w:ind w:firstLine="480"/>
        <w:rPr>
          <w:rFonts w:ascii="宋体" w:hAnsi="宋体" w:eastAsia="宋体" w:cs="Times New Roman"/>
          <w:color w:val="000000"/>
          <w:kern w:val="0"/>
          <w:sz w:val="24"/>
          <w:szCs w:val="21"/>
          <w:highlight w:val="none"/>
        </w:rPr>
      </w:pPr>
      <w:r>
        <w:rPr>
          <w:rFonts w:hint="eastAsia" w:ascii="宋体" w:hAnsi="宋体" w:eastAsia="宋体" w:cs="Times New Roman"/>
          <w:color w:val="000000"/>
          <w:kern w:val="0"/>
          <w:sz w:val="24"/>
          <w:szCs w:val="21"/>
          <w:highlight w:val="none"/>
        </w:rPr>
        <w:t>本单位郑重声明，根据《财政部 民政部 中国残疾人联合会关于促进残疾人就业政府采购政策的通知》（财库〔2017〕 141号）的规定，本单位为符合条件的残疾人福利性单位，且本单位参加_____单位的采购文件编号为______的</w:t>
      </w:r>
      <w:r>
        <w:rPr>
          <w:rFonts w:hint="eastAsia" w:ascii="宋体" w:hAnsi="宋体" w:eastAsia="宋体" w:cs="Times New Roman"/>
          <w:color w:val="000000"/>
          <w:kern w:val="0"/>
          <w:sz w:val="24"/>
          <w:szCs w:val="21"/>
          <w:highlight w:val="none"/>
          <w:u w:val="single"/>
        </w:rPr>
        <w:t xml:space="preserve">       </w:t>
      </w:r>
      <w:r>
        <w:rPr>
          <w:rFonts w:hint="eastAsia" w:ascii="宋体" w:hAnsi="宋体" w:eastAsia="宋体" w:cs="Times New Roman"/>
          <w:color w:val="000000"/>
          <w:kern w:val="0"/>
          <w:sz w:val="24"/>
          <w:szCs w:val="21"/>
          <w:highlight w:val="none"/>
        </w:rPr>
        <w:t>项目（分包号：**）采购活动由本单位提供服务。</w:t>
      </w:r>
    </w:p>
    <w:p w14:paraId="089CF234">
      <w:pPr>
        <w:spacing w:line="588" w:lineRule="exact"/>
        <w:ind w:firstLine="480"/>
        <w:rPr>
          <w:rFonts w:ascii="宋体" w:hAnsi="宋体" w:eastAsia="宋体" w:cs="Times New Roman"/>
          <w:color w:val="000000"/>
          <w:kern w:val="0"/>
          <w:sz w:val="24"/>
          <w:szCs w:val="21"/>
          <w:highlight w:val="none"/>
        </w:rPr>
      </w:pPr>
      <w:r>
        <w:rPr>
          <w:rFonts w:hint="eastAsia" w:ascii="宋体" w:hAnsi="宋体" w:eastAsia="宋体" w:cs="Times New Roman"/>
          <w:color w:val="000000"/>
          <w:kern w:val="0"/>
          <w:sz w:val="24"/>
          <w:szCs w:val="21"/>
          <w:highlight w:val="none"/>
        </w:rPr>
        <w:t>本单位对上述声明的真实性负责。如有虚假，将依法承担相应责任。</w:t>
      </w:r>
    </w:p>
    <w:p w14:paraId="080462FA">
      <w:pPr>
        <w:spacing w:line="588" w:lineRule="exact"/>
        <w:ind w:firstLine="480"/>
        <w:rPr>
          <w:rFonts w:ascii="宋体" w:hAnsi="宋体" w:eastAsia="宋体" w:cs="Times New Roman"/>
          <w:color w:val="000000"/>
          <w:kern w:val="0"/>
          <w:sz w:val="24"/>
          <w:szCs w:val="21"/>
          <w:highlight w:val="none"/>
        </w:rPr>
      </w:pPr>
    </w:p>
    <w:p w14:paraId="2B55B922">
      <w:pPr>
        <w:spacing w:line="588" w:lineRule="exact"/>
        <w:ind w:firstLine="480"/>
        <w:rPr>
          <w:rFonts w:ascii="宋体" w:hAnsi="宋体" w:eastAsia="宋体" w:cs="Times New Roman"/>
          <w:color w:val="000000"/>
          <w:kern w:val="0"/>
          <w:sz w:val="24"/>
          <w:szCs w:val="21"/>
          <w:highlight w:val="none"/>
        </w:rPr>
      </w:pPr>
      <w:r>
        <w:rPr>
          <w:rFonts w:hint="eastAsia" w:ascii="宋体" w:hAnsi="宋体" w:eastAsia="宋体" w:cs="Times New Roman"/>
          <w:color w:val="000000"/>
          <w:kern w:val="0"/>
          <w:sz w:val="24"/>
          <w:szCs w:val="21"/>
          <w:highlight w:val="none"/>
        </w:rPr>
        <w:t>（备注：1、供应商如不提供此声明函，价格将不做相应扣除。2、中标人为残疾人福利单位的，此声明函将随中标结果同时公告，接受社会监督）</w:t>
      </w:r>
    </w:p>
    <w:p w14:paraId="12AC1C8E">
      <w:pPr>
        <w:spacing w:line="588" w:lineRule="exact"/>
        <w:ind w:firstLine="624"/>
        <w:rPr>
          <w:rFonts w:ascii="仿宋_GB2312" w:hAnsi="Times New Roman" w:eastAsia="仿宋_GB2312" w:cs="Times New Roman"/>
          <w:color w:val="000000"/>
          <w:spacing w:val="6"/>
          <w:kern w:val="0"/>
          <w:sz w:val="30"/>
          <w:szCs w:val="30"/>
          <w:highlight w:val="none"/>
        </w:rPr>
      </w:pPr>
    </w:p>
    <w:p w14:paraId="6FD026D6">
      <w:pPr>
        <w:tabs>
          <w:tab w:val="left" w:pos="4860"/>
        </w:tabs>
        <w:spacing w:line="588" w:lineRule="exact"/>
        <w:ind w:right="1560" w:firstLine="624"/>
        <w:jc w:val="center"/>
        <w:rPr>
          <w:rFonts w:ascii="宋体" w:hAnsi="宋体" w:eastAsia="宋体" w:cs="Times New Roman"/>
          <w:color w:val="000000"/>
          <w:kern w:val="0"/>
          <w:sz w:val="24"/>
          <w:szCs w:val="21"/>
          <w:highlight w:val="none"/>
        </w:rPr>
      </w:pPr>
      <w:r>
        <w:rPr>
          <w:rFonts w:hint="eastAsia" w:ascii="仿宋_GB2312" w:hAnsi="Times New Roman" w:eastAsia="仿宋_GB2312" w:cs="Times New Roman"/>
          <w:color w:val="000000"/>
          <w:spacing w:val="6"/>
          <w:kern w:val="0"/>
          <w:sz w:val="30"/>
          <w:szCs w:val="30"/>
          <w:highlight w:val="none"/>
        </w:rPr>
        <w:t xml:space="preserve">             </w:t>
      </w:r>
      <w:r>
        <w:rPr>
          <w:rFonts w:hint="eastAsia" w:ascii="宋体" w:hAnsi="宋体" w:eastAsia="宋体" w:cs="Times New Roman"/>
          <w:color w:val="000000"/>
          <w:kern w:val="0"/>
          <w:sz w:val="24"/>
          <w:szCs w:val="21"/>
          <w:highlight w:val="none"/>
        </w:rPr>
        <w:t xml:space="preserve">          供应商全称（加盖CA电子公章）：</w:t>
      </w:r>
    </w:p>
    <w:p w14:paraId="1F6EC2E0">
      <w:pPr>
        <w:tabs>
          <w:tab w:val="left" w:pos="4860"/>
        </w:tabs>
        <w:spacing w:line="588" w:lineRule="exact"/>
        <w:ind w:right="1560" w:firstLine="480"/>
        <w:jc w:val="center"/>
        <w:rPr>
          <w:rFonts w:ascii="宋体" w:hAnsi="宋体" w:eastAsia="宋体" w:cs="Times New Roman"/>
          <w:color w:val="000000"/>
          <w:kern w:val="0"/>
          <w:sz w:val="24"/>
          <w:szCs w:val="21"/>
          <w:highlight w:val="none"/>
        </w:rPr>
      </w:pPr>
      <w:r>
        <w:rPr>
          <w:rFonts w:hint="eastAsia" w:ascii="宋体" w:hAnsi="宋体" w:eastAsia="宋体" w:cs="Times New Roman"/>
          <w:color w:val="000000"/>
          <w:kern w:val="0"/>
          <w:sz w:val="24"/>
          <w:szCs w:val="21"/>
          <w:highlight w:val="none"/>
        </w:rPr>
        <w:t xml:space="preserve">        日  期：</w:t>
      </w:r>
    </w:p>
    <w:p w14:paraId="7736CAD6">
      <w:pPr>
        <w:spacing w:line="560" w:lineRule="exact"/>
        <w:jc w:val="center"/>
        <w:rPr>
          <w:rFonts w:ascii="黑体" w:hAnsi="黑体" w:eastAsia="黑体" w:cs="Times New Roman"/>
          <w:b/>
          <w:color w:val="000000"/>
          <w:kern w:val="0"/>
          <w:sz w:val="32"/>
          <w:szCs w:val="32"/>
          <w:highlight w:val="none"/>
        </w:rPr>
      </w:pPr>
    </w:p>
    <w:p w14:paraId="0C106E2E">
      <w:pPr>
        <w:spacing w:line="560" w:lineRule="exact"/>
        <w:jc w:val="center"/>
        <w:rPr>
          <w:rFonts w:ascii="黑体" w:hAnsi="黑体" w:eastAsia="黑体" w:cs="Times New Roman"/>
          <w:b/>
          <w:color w:val="000000"/>
          <w:kern w:val="0"/>
          <w:sz w:val="32"/>
          <w:szCs w:val="32"/>
          <w:highlight w:val="none"/>
        </w:rPr>
      </w:pPr>
    </w:p>
    <w:p w14:paraId="6D5F86B1">
      <w:pPr>
        <w:spacing w:line="560" w:lineRule="exact"/>
        <w:jc w:val="center"/>
        <w:rPr>
          <w:rFonts w:ascii="黑体" w:hAnsi="黑体" w:eastAsia="黑体" w:cs="Times New Roman"/>
          <w:b/>
          <w:color w:val="000000"/>
          <w:kern w:val="0"/>
          <w:sz w:val="32"/>
          <w:szCs w:val="32"/>
          <w:highlight w:val="none"/>
        </w:rPr>
      </w:pPr>
    </w:p>
    <w:p w14:paraId="04BF260C">
      <w:pPr>
        <w:spacing w:line="560" w:lineRule="exact"/>
        <w:jc w:val="center"/>
        <w:rPr>
          <w:rFonts w:ascii="黑体" w:hAnsi="黑体" w:eastAsia="黑体" w:cs="Times New Roman"/>
          <w:b/>
          <w:color w:val="000000"/>
          <w:kern w:val="0"/>
          <w:sz w:val="32"/>
          <w:szCs w:val="32"/>
          <w:highlight w:val="none"/>
        </w:rPr>
      </w:pPr>
    </w:p>
    <w:p w14:paraId="342343A5">
      <w:pPr>
        <w:spacing w:line="560" w:lineRule="exact"/>
        <w:jc w:val="center"/>
        <w:rPr>
          <w:rFonts w:ascii="黑体" w:hAnsi="黑体" w:eastAsia="黑体" w:cs="Times New Roman"/>
          <w:b/>
          <w:color w:val="000000"/>
          <w:kern w:val="0"/>
          <w:sz w:val="32"/>
          <w:szCs w:val="32"/>
          <w:highlight w:val="none"/>
        </w:rPr>
      </w:pPr>
    </w:p>
    <w:p w14:paraId="47E6EE01">
      <w:pPr>
        <w:spacing w:line="560" w:lineRule="exact"/>
        <w:jc w:val="center"/>
        <w:rPr>
          <w:rFonts w:ascii="黑体" w:hAnsi="黑体" w:eastAsia="黑体" w:cs="Times New Roman"/>
          <w:b/>
          <w:color w:val="000000"/>
          <w:kern w:val="0"/>
          <w:sz w:val="32"/>
          <w:szCs w:val="32"/>
          <w:highlight w:val="none"/>
        </w:rPr>
      </w:pPr>
    </w:p>
    <w:p w14:paraId="014566C5">
      <w:pPr>
        <w:spacing w:line="560" w:lineRule="exact"/>
        <w:jc w:val="center"/>
        <w:rPr>
          <w:rFonts w:ascii="黑体" w:hAnsi="黑体" w:eastAsia="黑体" w:cs="Times New Roman"/>
          <w:b/>
          <w:color w:val="000000"/>
          <w:kern w:val="0"/>
          <w:sz w:val="32"/>
          <w:szCs w:val="32"/>
          <w:highlight w:val="none"/>
        </w:rPr>
      </w:pPr>
    </w:p>
    <w:p w14:paraId="5E845534">
      <w:pPr>
        <w:spacing w:line="560" w:lineRule="exact"/>
        <w:jc w:val="center"/>
        <w:rPr>
          <w:rFonts w:ascii="黑体" w:hAnsi="黑体" w:eastAsia="黑体" w:cs="Times New Roman"/>
          <w:b/>
          <w:color w:val="000000"/>
          <w:kern w:val="0"/>
          <w:sz w:val="32"/>
          <w:szCs w:val="32"/>
          <w:highlight w:val="none"/>
        </w:rPr>
      </w:pPr>
    </w:p>
    <w:p w14:paraId="15C58A3B">
      <w:pPr>
        <w:spacing w:line="560" w:lineRule="exact"/>
        <w:jc w:val="center"/>
        <w:rPr>
          <w:rFonts w:ascii="黑体" w:hAnsi="黑体" w:eastAsia="黑体" w:cs="Times New Roman"/>
          <w:b/>
          <w:color w:val="000000"/>
          <w:kern w:val="0"/>
          <w:sz w:val="32"/>
          <w:szCs w:val="32"/>
          <w:highlight w:val="none"/>
        </w:rPr>
      </w:pPr>
    </w:p>
    <w:p w14:paraId="5654AC4F">
      <w:pPr>
        <w:spacing w:line="560" w:lineRule="exact"/>
        <w:jc w:val="center"/>
        <w:rPr>
          <w:rFonts w:ascii="黑体" w:hAnsi="黑体" w:eastAsia="黑体" w:cs="Times New Roman"/>
          <w:b/>
          <w:color w:val="000000"/>
          <w:kern w:val="0"/>
          <w:sz w:val="32"/>
          <w:szCs w:val="32"/>
          <w:highlight w:val="none"/>
        </w:rPr>
      </w:pPr>
    </w:p>
    <w:p w14:paraId="0963395B">
      <w:pPr>
        <w:spacing w:line="560" w:lineRule="exact"/>
        <w:jc w:val="center"/>
        <w:rPr>
          <w:rFonts w:ascii="黑体" w:hAnsi="黑体" w:eastAsia="黑体" w:cs="Times New Roman"/>
          <w:b/>
          <w:color w:val="000000"/>
          <w:kern w:val="0"/>
          <w:sz w:val="32"/>
          <w:szCs w:val="32"/>
          <w:highlight w:val="none"/>
        </w:rPr>
      </w:pPr>
    </w:p>
    <w:p w14:paraId="3E9C05B1">
      <w:pPr>
        <w:spacing w:line="560" w:lineRule="exact"/>
        <w:jc w:val="center"/>
        <w:rPr>
          <w:rFonts w:ascii="黑体" w:hAnsi="黑体" w:eastAsia="黑体" w:cs="Times New Roman"/>
          <w:b/>
          <w:color w:val="000000"/>
          <w:kern w:val="0"/>
          <w:sz w:val="32"/>
          <w:szCs w:val="32"/>
          <w:highlight w:val="none"/>
        </w:rPr>
      </w:pPr>
    </w:p>
    <w:p w14:paraId="02932288">
      <w:pPr>
        <w:spacing w:line="460" w:lineRule="exact"/>
        <w:rPr>
          <w:rFonts w:ascii="宋体" w:hAnsi="宋体" w:eastAsia="宋体" w:cs="Times New Roman"/>
          <w:bCs/>
          <w:color w:val="000000"/>
          <w:kern w:val="0"/>
          <w:sz w:val="24"/>
          <w:szCs w:val="21"/>
          <w:highlight w:val="none"/>
        </w:rPr>
      </w:pPr>
    </w:p>
    <w:p w14:paraId="61A07CF7">
      <w:pPr>
        <w:spacing w:line="460" w:lineRule="exact"/>
        <w:rPr>
          <w:rFonts w:ascii="宋体" w:hAnsi="宋体" w:eastAsia="宋体" w:cs="Times New Roman"/>
          <w:bCs/>
          <w:color w:val="000000"/>
          <w:kern w:val="0"/>
          <w:sz w:val="24"/>
          <w:szCs w:val="21"/>
          <w:highlight w:val="none"/>
        </w:rPr>
      </w:pPr>
    </w:p>
    <w:p w14:paraId="64E70D76">
      <w:pPr>
        <w:rPr>
          <w:rFonts w:ascii="Times New Roman" w:hAnsi="Times New Roman" w:eastAsia="宋体" w:cs="Times New Roman"/>
          <w:color w:val="000000"/>
          <w:kern w:val="0"/>
          <w:szCs w:val="21"/>
          <w:highlight w:val="none"/>
        </w:rPr>
      </w:pPr>
    </w:p>
    <w:p w14:paraId="0EFC50C5">
      <w:pPr>
        <w:numPr>
          <w:ilvl w:val="0"/>
          <w:numId w:val="7"/>
        </w:numPr>
        <w:jc w:val="center"/>
        <w:rPr>
          <w:rFonts w:ascii="黑体" w:hAnsi="黑体" w:eastAsia="黑体" w:cs="Times New Roman"/>
          <w:b/>
          <w:color w:val="000000"/>
          <w:kern w:val="0"/>
          <w:sz w:val="32"/>
          <w:szCs w:val="32"/>
          <w:highlight w:val="none"/>
        </w:rPr>
      </w:pPr>
      <w:r>
        <w:rPr>
          <w:rFonts w:hint="eastAsia" w:ascii="黑体" w:hAnsi="黑体" w:eastAsia="黑体" w:cs="Times New Roman"/>
          <w:b/>
          <w:color w:val="000000"/>
          <w:kern w:val="0"/>
          <w:sz w:val="32"/>
          <w:szCs w:val="32"/>
          <w:highlight w:val="none"/>
        </w:rPr>
        <w:t xml:space="preserve">投标分项报价表 </w:t>
      </w:r>
    </w:p>
    <w:p w14:paraId="00B3546F">
      <w:pPr>
        <w:spacing w:line="480" w:lineRule="exact"/>
        <w:jc w:val="left"/>
        <w:rPr>
          <w:rFonts w:ascii="宋体" w:hAnsi="宋体" w:eastAsia="宋体" w:cs="宋体"/>
          <w:b/>
          <w:color w:val="000000"/>
          <w:kern w:val="0"/>
          <w:szCs w:val="21"/>
          <w:highlight w:val="none"/>
        </w:rPr>
      </w:pPr>
      <w:r>
        <w:rPr>
          <w:rFonts w:hint="eastAsia" w:ascii="宋体" w:hAnsi="宋体" w:eastAsia="宋体" w:cs="宋体"/>
          <w:b/>
          <w:color w:val="000000"/>
          <w:kern w:val="0"/>
          <w:szCs w:val="21"/>
          <w:highlight w:val="none"/>
        </w:rPr>
        <w:t>格式自拟</w:t>
      </w:r>
    </w:p>
    <w:p w14:paraId="7ABAE902">
      <w:pPr>
        <w:spacing w:line="600" w:lineRule="auto"/>
        <w:ind w:firstLine="3685"/>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投标人名称（盖章）： </w:t>
      </w:r>
    </w:p>
    <w:p w14:paraId="6F89E4E4">
      <w:pPr>
        <w:spacing w:line="600" w:lineRule="auto"/>
        <w:ind w:firstLine="200"/>
        <w:jc w:val="center"/>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                    法定代表人或其委托代理人签字（或盖章）：</w:t>
      </w:r>
    </w:p>
    <w:p w14:paraId="181EEB41">
      <w:pPr>
        <w:spacing w:line="600" w:lineRule="auto"/>
        <w:ind w:firstLine="200"/>
        <w:jc w:val="center"/>
        <w:rPr>
          <w:rFonts w:ascii="宋体" w:hAnsi="宋体" w:cs="宋体"/>
          <w:color w:val="000000"/>
          <w:highlight w:val="none"/>
        </w:rPr>
        <w:sectPr>
          <w:pgSz w:w="11906" w:h="16838"/>
          <w:pgMar w:top="1417" w:right="1417" w:bottom="1417" w:left="1417" w:header="851" w:footer="992" w:gutter="0"/>
          <w:cols w:space="1701" w:num="1"/>
          <w:docGrid w:linePitch="360" w:charSpace="0"/>
        </w:sectPr>
      </w:pPr>
      <w:r>
        <w:rPr>
          <w:rFonts w:hint="eastAsia" w:ascii="宋体" w:hAnsi="宋体" w:eastAsia="宋体" w:cs="宋体"/>
          <w:color w:val="000000"/>
          <w:kern w:val="0"/>
          <w:szCs w:val="21"/>
          <w:highlight w:val="none"/>
        </w:rPr>
        <w:t xml:space="preserve">      日    期：</w:t>
      </w:r>
      <w:r>
        <w:rPr>
          <w:rFonts w:hint="eastAsia" w:ascii="宋体" w:hAnsi="宋体" w:eastAsia="宋体" w:cs="宋体"/>
          <w:color w:val="000000"/>
          <w:kern w:val="0"/>
          <w:szCs w:val="21"/>
          <w:highlight w:val="none"/>
          <w:u w:val="single"/>
        </w:rPr>
        <w:t xml:space="preserve">    </w:t>
      </w:r>
      <w:r>
        <w:rPr>
          <w:rFonts w:hint="eastAsia" w:ascii="宋体" w:hAnsi="宋体" w:eastAsia="宋体" w:cs="宋体"/>
          <w:color w:val="000000"/>
          <w:kern w:val="0"/>
          <w:szCs w:val="21"/>
          <w:highlight w:val="none"/>
        </w:rPr>
        <w:t>年</w:t>
      </w:r>
      <w:r>
        <w:rPr>
          <w:rFonts w:hint="eastAsia" w:ascii="宋体" w:hAnsi="宋体" w:eastAsia="宋体" w:cs="宋体"/>
          <w:color w:val="000000"/>
          <w:kern w:val="0"/>
          <w:szCs w:val="21"/>
          <w:highlight w:val="none"/>
          <w:u w:val="single"/>
        </w:rPr>
        <w:t xml:space="preserve">   </w:t>
      </w:r>
      <w:r>
        <w:rPr>
          <w:rFonts w:hint="eastAsia" w:ascii="宋体" w:hAnsi="宋体" w:eastAsia="宋体" w:cs="宋体"/>
          <w:color w:val="000000"/>
          <w:kern w:val="0"/>
          <w:szCs w:val="21"/>
          <w:highlight w:val="none"/>
        </w:rPr>
        <w:t>月</w:t>
      </w:r>
      <w:r>
        <w:rPr>
          <w:rFonts w:hint="eastAsia" w:ascii="宋体" w:hAnsi="宋体" w:eastAsia="宋体" w:cs="宋体"/>
          <w:color w:val="000000"/>
          <w:kern w:val="0"/>
          <w:szCs w:val="21"/>
          <w:highlight w:val="none"/>
          <w:u w:val="single"/>
        </w:rPr>
        <w:t xml:space="preserve">       </w:t>
      </w:r>
    </w:p>
    <w:p w14:paraId="7533C9CB">
      <w:pPr>
        <w:rPr>
          <w:rFonts w:ascii="黑体" w:hAnsi="黑体" w:eastAsia="黑体" w:cs="Times New Roman"/>
          <w:b/>
          <w:color w:val="000000"/>
          <w:kern w:val="0"/>
          <w:sz w:val="32"/>
          <w:szCs w:val="32"/>
          <w:highlight w:val="none"/>
        </w:rPr>
      </w:pPr>
    </w:p>
    <w:p w14:paraId="5ED15EE4">
      <w:pPr>
        <w:rPr>
          <w:rFonts w:ascii="黑体" w:hAnsi="黑体" w:eastAsia="黑体" w:cs="Times New Roman"/>
          <w:b/>
          <w:color w:val="000000"/>
          <w:kern w:val="0"/>
          <w:sz w:val="32"/>
          <w:szCs w:val="32"/>
          <w:highlight w:val="none"/>
        </w:rPr>
      </w:pPr>
      <w:r>
        <w:rPr>
          <w:rFonts w:hint="eastAsia" w:ascii="黑体" w:hAnsi="黑体" w:eastAsia="黑体" w:cs="Times New Roman"/>
          <w:b/>
          <w:color w:val="000000"/>
          <w:kern w:val="0"/>
          <w:sz w:val="32"/>
          <w:szCs w:val="32"/>
          <w:highlight w:val="none"/>
        </w:rPr>
        <w:t xml:space="preserve">十三、技术要求响应及偏离表 </w:t>
      </w:r>
    </w:p>
    <w:tbl>
      <w:tblPr>
        <w:tblStyle w:val="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291"/>
        <w:gridCol w:w="2852"/>
        <w:gridCol w:w="1308"/>
        <w:gridCol w:w="1173"/>
      </w:tblGrid>
      <w:tr w14:paraId="73E404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vAlign w:val="center"/>
          </w:tcPr>
          <w:p w14:paraId="21322B45">
            <w:pPr>
              <w:jc w:val="center"/>
              <w:rPr>
                <w:rFonts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序号</w:t>
            </w:r>
          </w:p>
        </w:tc>
        <w:tc>
          <w:tcPr>
            <w:tcW w:w="3291" w:type="dxa"/>
            <w:vAlign w:val="center"/>
          </w:tcPr>
          <w:p w14:paraId="1CB2B2C3">
            <w:pPr>
              <w:jc w:val="center"/>
              <w:rPr>
                <w:rFonts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招标文件要求</w:t>
            </w:r>
          </w:p>
        </w:tc>
        <w:tc>
          <w:tcPr>
            <w:tcW w:w="2852" w:type="dxa"/>
            <w:vAlign w:val="center"/>
          </w:tcPr>
          <w:p w14:paraId="0E809B44">
            <w:pPr>
              <w:jc w:val="center"/>
              <w:rPr>
                <w:rFonts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投标响应情况</w:t>
            </w:r>
          </w:p>
        </w:tc>
        <w:tc>
          <w:tcPr>
            <w:tcW w:w="1308" w:type="dxa"/>
            <w:vAlign w:val="center"/>
          </w:tcPr>
          <w:p w14:paraId="76D12A8F">
            <w:pPr>
              <w:jc w:val="center"/>
              <w:rPr>
                <w:rFonts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超出、符合或偏离</w:t>
            </w:r>
          </w:p>
        </w:tc>
        <w:tc>
          <w:tcPr>
            <w:tcW w:w="1173" w:type="dxa"/>
            <w:vAlign w:val="center"/>
          </w:tcPr>
          <w:p w14:paraId="515AAC41">
            <w:pPr>
              <w:jc w:val="center"/>
              <w:rPr>
                <w:rFonts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证明</w:t>
            </w:r>
          </w:p>
          <w:p w14:paraId="1E8F20A4">
            <w:pPr>
              <w:jc w:val="center"/>
              <w:rPr>
                <w:rFonts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材料</w:t>
            </w:r>
          </w:p>
        </w:tc>
      </w:tr>
      <w:tr w14:paraId="72154B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0D7C43B6">
            <w:pPr>
              <w:jc w:val="center"/>
              <w:rPr>
                <w:rFonts w:ascii="宋体" w:hAnsi="宋体" w:eastAsia="宋体" w:cs="Times New Roman"/>
                <w:color w:val="000000"/>
                <w:kern w:val="0"/>
                <w:sz w:val="24"/>
                <w:highlight w:val="none"/>
              </w:rPr>
            </w:pPr>
          </w:p>
        </w:tc>
        <w:tc>
          <w:tcPr>
            <w:tcW w:w="3291" w:type="dxa"/>
          </w:tcPr>
          <w:p w14:paraId="733E60A0">
            <w:pPr>
              <w:jc w:val="center"/>
              <w:rPr>
                <w:rFonts w:ascii="宋体" w:hAnsi="宋体" w:eastAsia="宋体" w:cs="Times New Roman"/>
                <w:color w:val="000000"/>
                <w:kern w:val="0"/>
                <w:sz w:val="24"/>
                <w:highlight w:val="none"/>
              </w:rPr>
            </w:pPr>
          </w:p>
        </w:tc>
        <w:tc>
          <w:tcPr>
            <w:tcW w:w="2852" w:type="dxa"/>
          </w:tcPr>
          <w:p w14:paraId="3B0DCD37">
            <w:pPr>
              <w:jc w:val="center"/>
              <w:rPr>
                <w:rFonts w:ascii="宋体" w:hAnsi="宋体" w:eastAsia="宋体" w:cs="Times New Roman"/>
                <w:color w:val="000000"/>
                <w:kern w:val="0"/>
                <w:sz w:val="24"/>
                <w:highlight w:val="none"/>
              </w:rPr>
            </w:pPr>
          </w:p>
        </w:tc>
        <w:tc>
          <w:tcPr>
            <w:tcW w:w="1308" w:type="dxa"/>
          </w:tcPr>
          <w:p w14:paraId="1B8690D2">
            <w:pPr>
              <w:jc w:val="center"/>
              <w:rPr>
                <w:rFonts w:ascii="宋体" w:hAnsi="宋体" w:eastAsia="宋体" w:cs="Times New Roman"/>
                <w:color w:val="000000"/>
                <w:kern w:val="0"/>
                <w:sz w:val="24"/>
                <w:highlight w:val="none"/>
              </w:rPr>
            </w:pPr>
          </w:p>
        </w:tc>
        <w:tc>
          <w:tcPr>
            <w:tcW w:w="1173" w:type="dxa"/>
          </w:tcPr>
          <w:p w14:paraId="146E99F7">
            <w:pPr>
              <w:jc w:val="center"/>
              <w:rPr>
                <w:rFonts w:ascii="宋体" w:hAnsi="宋体" w:eastAsia="宋体" w:cs="Times New Roman"/>
                <w:color w:val="000000"/>
                <w:kern w:val="0"/>
                <w:sz w:val="24"/>
                <w:highlight w:val="none"/>
              </w:rPr>
            </w:pPr>
          </w:p>
        </w:tc>
      </w:tr>
      <w:tr w14:paraId="6B6EBC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36081FB4">
            <w:pPr>
              <w:jc w:val="center"/>
              <w:rPr>
                <w:rFonts w:ascii="宋体" w:hAnsi="宋体" w:eastAsia="宋体" w:cs="Times New Roman"/>
                <w:color w:val="000000"/>
                <w:kern w:val="0"/>
                <w:sz w:val="24"/>
                <w:highlight w:val="none"/>
              </w:rPr>
            </w:pPr>
          </w:p>
        </w:tc>
        <w:tc>
          <w:tcPr>
            <w:tcW w:w="3291" w:type="dxa"/>
          </w:tcPr>
          <w:p w14:paraId="70B50824">
            <w:pPr>
              <w:jc w:val="center"/>
              <w:rPr>
                <w:rFonts w:ascii="宋体" w:hAnsi="宋体" w:eastAsia="宋体" w:cs="Times New Roman"/>
                <w:color w:val="000000"/>
                <w:kern w:val="0"/>
                <w:sz w:val="24"/>
                <w:highlight w:val="none"/>
              </w:rPr>
            </w:pPr>
          </w:p>
        </w:tc>
        <w:tc>
          <w:tcPr>
            <w:tcW w:w="2852" w:type="dxa"/>
          </w:tcPr>
          <w:p w14:paraId="6C063F6B">
            <w:pPr>
              <w:jc w:val="center"/>
              <w:rPr>
                <w:rFonts w:ascii="宋体" w:hAnsi="宋体" w:eastAsia="宋体" w:cs="Times New Roman"/>
                <w:color w:val="000000"/>
                <w:kern w:val="0"/>
                <w:sz w:val="24"/>
                <w:highlight w:val="none"/>
              </w:rPr>
            </w:pPr>
          </w:p>
        </w:tc>
        <w:tc>
          <w:tcPr>
            <w:tcW w:w="1308" w:type="dxa"/>
          </w:tcPr>
          <w:p w14:paraId="46BBCCE7">
            <w:pPr>
              <w:jc w:val="center"/>
              <w:rPr>
                <w:rFonts w:ascii="宋体" w:hAnsi="宋体" w:eastAsia="宋体" w:cs="Times New Roman"/>
                <w:color w:val="000000"/>
                <w:kern w:val="0"/>
                <w:sz w:val="24"/>
                <w:highlight w:val="none"/>
              </w:rPr>
            </w:pPr>
          </w:p>
        </w:tc>
        <w:tc>
          <w:tcPr>
            <w:tcW w:w="1173" w:type="dxa"/>
          </w:tcPr>
          <w:p w14:paraId="2DB09C73">
            <w:pPr>
              <w:jc w:val="center"/>
              <w:rPr>
                <w:rFonts w:ascii="宋体" w:hAnsi="宋体" w:eastAsia="宋体" w:cs="Times New Roman"/>
                <w:color w:val="000000"/>
                <w:kern w:val="0"/>
                <w:sz w:val="24"/>
                <w:highlight w:val="none"/>
              </w:rPr>
            </w:pPr>
          </w:p>
        </w:tc>
      </w:tr>
      <w:tr w14:paraId="13C073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1234C584">
            <w:pPr>
              <w:jc w:val="center"/>
              <w:rPr>
                <w:rFonts w:ascii="宋体" w:hAnsi="宋体" w:eastAsia="宋体" w:cs="Times New Roman"/>
                <w:color w:val="000000"/>
                <w:kern w:val="0"/>
                <w:sz w:val="24"/>
                <w:highlight w:val="none"/>
              </w:rPr>
            </w:pPr>
          </w:p>
        </w:tc>
        <w:tc>
          <w:tcPr>
            <w:tcW w:w="3291" w:type="dxa"/>
          </w:tcPr>
          <w:p w14:paraId="0D8A05FD">
            <w:pPr>
              <w:jc w:val="center"/>
              <w:rPr>
                <w:rFonts w:ascii="宋体" w:hAnsi="宋体" w:eastAsia="宋体" w:cs="Times New Roman"/>
                <w:color w:val="000000"/>
                <w:kern w:val="0"/>
                <w:sz w:val="24"/>
                <w:highlight w:val="none"/>
              </w:rPr>
            </w:pPr>
          </w:p>
        </w:tc>
        <w:tc>
          <w:tcPr>
            <w:tcW w:w="2852" w:type="dxa"/>
          </w:tcPr>
          <w:p w14:paraId="031474C2">
            <w:pPr>
              <w:jc w:val="center"/>
              <w:rPr>
                <w:rFonts w:ascii="宋体" w:hAnsi="宋体" w:eastAsia="宋体" w:cs="Times New Roman"/>
                <w:color w:val="000000"/>
                <w:kern w:val="0"/>
                <w:sz w:val="24"/>
                <w:highlight w:val="none"/>
              </w:rPr>
            </w:pPr>
          </w:p>
        </w:tc>
        <w:tc>
          <w:tcPr>
            <w:tcW w:w="1308" w:type="dxa"/>
          </w:tcPr>
          <w:p w14:paraId="42CFF2A5">
            <w:pPr>
              <w:jc w:val="center"/>
              <w:rPr>
                <w:rFonts w:ascii="宋体" w:hAnsi="宋体" w:eastAsia="宋体" w:cs="Times New Roman"/>
                <w:color w:val="000000"/>
                <w:kern w:val="0"/>
                <w:sz w:val="24"/>
                <w:highlight w:val="none"/>
              </w:rPr>
            </w:pPr>
          </w:p>
        </w:tc>
        <w:tc>
          <w:tcPr>
            <w:tcW w:w="1173" w:type="dxa"/>
          </w:tcPr>
          <w:p w14:paraId="3E9C7850">
            <w:pPr>
              <w:jc w:val="center"/>
              <w:rPr>
                <w:rFonts w:ascii="宋体" w:hAnsi="宋体" w:eastAsia="宋体" w:cs="Times New Roman"/>
                <w:color w:val="000000"/>
                <w:kern w:val="0"/>
                <w:sz w:val="24"/>
                <w:highlight w:val="none"/>
              </w:rPr>
            </w:pPr>
          </w:p>
        </w:tc>
      </w:tr>
      <w:tr w14:paraId="660156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59263D2F">
            <w:pPr>
              <w:jc w:val="center"/>
              <w:rPr>
                <w:rFonts w:ascii="宋体" w:hAnsi="宋体" w:eastAsia="宋体" w:cs="Times New Roman"/>
                <w:color w:val="000000"/>
                <w:kern w:val="0"/>
                <w:sz w:val="24"/>
                <w:highlight w:val="none"/>
              </w:rPr>
            </w:pPr>
          </w:p>
        </w:tc>
        <w:tc>
          <w:tcPr>
            <w:tcW w:w="3291" w:type="dxa"/>
          </w:tcPr>
          <w:p w14:paraId="2B060E24">
            <w:pPr>
              <w:jc w:val="center"/>
              <w:rPr>
                <w:rFonts w:ascii="宋体" w:hAnsi="宋体" w:eastAsia="宋体" w:cs="Times New Roman"/>
                <w:color w:val="000000"/>
                <w:kern w:val="0"/>
                <w:sz w:val="24"/>
                <w:highlight w:val="none"/>
              </w:rPr>
            </w:pPr>
          </w:p>
        </w:tc>
        <w:tc>
          <w:tcPr>
            <w:tcW w:w="2852" w:type="dxa"/>
          </w:tcPr>
          <w:p w14:paraId="22593B4B">
            <w:pPr>
              <w:jc w:val="center"/>
              <w:rPr>
                <w:rFonts w:ascii="宋体" w:hAnsi="宋体" w:eastAsia="宋体" w:cs="Times New Roman"/>
                <w:color w:val="000000"/>
                <w:kern w:val="0"/>
                <w:sz w:val="24"/>
                <w:highlight w:val="none"/>
              </w:rPr>
            </w:pPr>
          </w:p>
        </w:tc>
        <w:tc>
          <w:tcPr>
            <w:tcW w:w="1308" w:type="dxa"/>
          </w:tcPr>
          <w:p w14:paraId="54447945">
            <w:pPr>
              <w:jc w:val="center"/>
              <w:rPr>
                <w:rFonts w:ascii="宋体" w:hAnsi="宋体" w:eastAsia="宋体" w:cs="Times New Roman"/>
                <w:color w:val="000000"/>
                <w:kern w:val="0"/>
                <w:sz w:val="24"/>
                <w:highlight w:val="none"/>
              </w:rPr>
            </w:pPr>
          </w:p>
        </w:tc>
        <w:tc>
          <w:tcPr>
            <w:tcW w:w="1173" w:type="dxa"/>
          </w:tcPr>
          <w:p w14:paraId="61ED41C7">
            <w:pPr>
              <w:jc w:val="center"/>
              <w:rPr>
                <w:rFonts w:ascii="宋体" w:hAnsi="宋体" w:eastAsia="宋体" w:cs="Times New Roman"/>
                <w:color w:val="000000"/>
                <w:kern w:val="0"/>
                <w:sz w:val="24"/>
                <w:highlight w:val="none"/>
              </w:rPr>
            </w:pPr>
          </w:p>
        </w:tc>
      </w:tr>
      <w:tr w14:paraId="2E2492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5C6D775B">
            <w:pPr>
              <w:jc w:val="center"/>
              <w:rPr>
                <w:rFonts w:ascii="宋体" w:hAnsi="宋体" w:eastAsia="宋体" w:cs="Times New Roman"/>
                <w:color w:val="000000"/>
                <w:kern w:val="0"/>
                <w:sz w:val="24"/>
                <w:highlight w:val="none"/>
              </w:rPr>
            </w:pPr>
          </w:p>
        </w:tc>
        <w:tc>
          <w:tcPr>
            <w:tcW w:w="3291" w:type="dxa"/>
          </w:tcPr>
          <w:p w14:paraId="6E88C48F">
            <w:pPr>
              <w:jc w:val="center"/>
              <w:rPr>
                <w:rFonts w:ascii="宋体" w:hAnsi="宋体" w:eastAsia="宋体" w:cs="Times New Roman"/>
                <w:color w:val="000000"/>
                <w:kern w:val="0"/>
                <w:sz w:val="24"/>
                <w:highlight w:val="none"/>
              </w:rPr>
            </w:pPr>
          </w:p>
        </w:tc>
        <w:tc>
          <w:tcPr>
            <w:tcW w:w="2852" w:type="dxa"/>
          </w:tcPr>
          <w:p w14:paraId="0FE98E60">
            <w:pPr>
              <w:jc w:val="center"/>
              <w:rPr>
                <w:rFonts w:ascii="宋体" w:hAnsi="宋体" w:eastAsia="宋体" w:cs="Times New Roman"/>
                <w:color w:val="000000"/>
                <w:kern w:val="0"/>
                <w:sz w:val="24"/>
                <w:highlight w:val="none"/>
              </w:rPr>
            </w:pPr>
          </w:p>
        </w:tc>
        <w:tc>
          <w:tcPr>
            <w:tcW w:w="1308" w:type="dxa"/>
          </w:tcPr>
          <w:p w14:paraId="0E07A60F">
            <w:pPr>
              <w:jc w:val="center"/>
              <w:rPr>
                <w:rFonts w:ascii="宋体" w:hAnsi="宋体" w:eastAsia="宋体" w:cs="Times New Roman"/>
                <w:color w:val="000000"/>
                <w:kern w:val="0"/>
                <w:sz w:val="24"/>
                <w:highlight w:val="none"/>
              </w:rPr>
            </w:pPr>
          </w:p>
        </w:tc>
        <w:tc>
          <w:tcPr>
            <w:tcW w:w="1173" w:type="dxa"/>
          </w:tcPr>
          <w:p w14:paraId="567A553B">
            <w:pPr>
              <w:jc w:val="center"/>
              <w:rPr>
                <w:rFonts w:ascii="宋体" w:hAnsi="宋体" w:eastAsia="宋体" w:cs="Times New Roman"/>
                <w:color w:val="000000"/>
                <w:kern w:val="0"/>
                <w:sz w:val="24"/>
                <w:highlight w:val="none"/>
              </w:rPr>
            </w:pPr>
          </w:p>
        </w:tc>
      </w:tr>
      <w:tr w14:paraId="0D18B2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4C1D9853">
            <w:pPr>
              <w:jc w:val="center"/>
              <w:rPr>
                <w:rFonts w:ascii="宋体" w:hAnsi="宋体" w:eastAsia="宋体" w:cs="Times New Roman"/>
                <w:color w:val="000000"/>
                <w:kern w:val="0"/>
                <w:sz w:val="24"/>
                <w:highlight w:val="none"/>
              </w:rPr>
            </w:pPr>
          </w:p>
        </w:tc>
        <w:tc>
          <w:tcPr>
            <w:tcW w:w="3291" w:type="dxa"/>
          </w:tcPr>
          <w:p w14:paraId="26698F2E">
            <w:pPr>
              <w:jc w:val="center"/>
              <w:rPr>
                <w:rFonts w:ascii="宋体" w:hAnsi="宋体" w:eastAsia="宋体" w:cs="Times New Roman"/>
                <w:color w:val="000000"/>
                <w:kern w:val="0"/>
                <w:sz w:val="24"/>
                <w:highlight w:val="none"/>
              </w:rPr>
            </w:pPr>
          </w:p>
        </w:tc>
        <w:tc>
          <w:tcPr>
            <w:tcW w:w="2852" w:type="dxa"/>
          </w:tcPr>
          <w:p w14:paraId="3AA6A82F">
            <w:pPr>
              <w:jc w:val="center"/>
              <w:rPr>
                <w:rFonts w:ascii="宋体" w:hAnsi="宋体" w:eastAsia="宋体" w:cs="Times New Roman"/>
                <w:color w:val="000000"/>
                <w:kern w:val="0"/>
                <w:sz w:val="24"/>
                <w:highlight w:val="none"/>
              </w:rPr>
            </w:pPr>
          </w:p>
        </w:tc>
        <w:tc>
          <w:tcPr>
            <w:tcW w:w="1308" w:type="dxa"/>
          </w:tcPr>
          <w:p w14:paraId="268EF010">
            <w:pPr>
              <w:jc w:val="center"/>
              <w:rPr>
                <w:rFonts w:ascii="宋体" w:hAnsi="宋体" w:eastAsia="宋体" w:cs="Times New Roman"/>
                <w:color w:val="000000"/>
                <w:kern w:val="0"/>
                <w:sz w:val="24"/>
                <w:highlight w:val="none"/>
              </w:rPr>
            </w:pPr>
          </w:p>
        </w:tc>
        <w:tc>
          <w:tcPr>
            <w:tcW w:w="1173" w:type="dxa"/>
          </w:tcPr>
          <w:p w14:paraId="549C593F">
            <w:pPr>
              <w:jc w:val="center"/>
              <w:rPr>
                <w:rFonts w:ascii="宋体" w:hAnsi="宋体" w:eastAsia="宋体" w:cs="Times New Roman"/>
                <w:color w:val="000000"/>
                <w:kern w:val="0"/>
                <w:sz w:val="24"/>
                <w:highlight w:val="none"/>
              </w:rPr>
            </w:pPr>
          </w:p>
        </w:tc>
      </w:tr>
      <w:tr w14:paraId="786AE7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0771D4B1">
            <w:pPr>
              <w:jc w:val="center"/>
              <w:rPr>
                <w:rFonts w:ascii="宋体" w:hAnsi="宋体" w:eastAsia="宋体" w:cs="Times New Roman"/>
                <w:color w:val="000000"/>
                <w:kern w:val="0"/>
                <w:sz w:val="24"/>
                <w:highlight w:val="none"/>
              </w:rPr>
            </w:pPr>
          </w:p>
        </w:tc>
        <w:tc>
          <w:tcPr>
            <w:tcW w:w="3291" w:type="dxa"/>
          </w:tcPr>
          <w:p w14:paraId="34F9353C">
            <w:pPr>
              <w:jc w:val="center"/>
              <w:rPr>
                <w:rFonts w:ascii="宋体" w:hAnsi="宋体" w:eastAsia="宋体" w:cs="Times New Roman"/>
                <w:color w:val="000000"/>
                <w:kern w:val="0"/>
                <w:sz w:val="24"/>
                <w:highlight w:val="none"/>
              </w:rPr>
            </w:pPr>
          </w:p>
        </w:tc>
        <w:tc>
          <w:tcPr>
            <w:tcW w:w="2852" w:type="dxa"/>
          </w:tcPr>
          <w:p w14:paraId="577C1BB5">
            <w:pPr>
              <w:jc w:val="center"/>
              <w:rPr>
                <w:rFonts w:ascii="宋体" w:hAnsi="宋体" w:eastAsia="宋体" w:cs="Times New Roman"/>
                <w:color w:val="000000"/>
                <w:kern w:val="0"/>
                <w:sz w:val="24"/>
                <w:highlight w:val="none"/>
              </w:rPr>
            </w:pPr>
          </w:p>
        </w:tc>
        <w:tc>
          <w:tcPr>
            <w:tcW w:w="1308" w:type="dxa"/>
          </w:tcPr>
          <w:p w14:paraId="4F3FD195">
            <w:pPr>
              <w:jc w:val="center"/>
              <w:rPr>
                <w:rFonts w:ascii="宋体" w:hAnsi="宋体" w:eastAsia="宋体" w:cs="Times New Roman"/>
                <w:color w:val="000000"/>
                <w:kern w:val="0"/>
                <w:sz w:val="24"/>
                <w:highlight w:val="none"/>
              </w:rPr>
            </w:pPr>
          </w:p>
        </w:tc>
        <w:tc>
          <w:tcPr>
            <w:tcW w:w="1173" w:type="dxa"/>
          </w:tcPr>
          <w:p w14:paraId="5E58315F">
            <w:pPr>
              <w:jc w:val="center"/>
              <w:rPr>
                <w:rFonts w:ascii="宋体" w:hAnsi="宋体" w:eastAsia="宋体" w:cs="Times New Roman"/>
                <w:color w:val="000000"/>
                <w:kern w:val="0"/>
                <w:sz w:val="24"/>
                <w:highlight w:val="none"/>
              </w:rPr>
            </w:pPr>
          </w:p>
        </w:tc>
      </w:tr>
      <w:tr w14:paraId="26CEC3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38307EE7">
            <w:pPr>
              <w:jc w:val="center"/>
              <w:rPr>
                <w:rFonts w:ascii="宋体" w:hAnsi="宋体" w:eastAsia="宋体" w:cs="Times New Roman"/>
                <w:color w:val="000000"/>
                <w:kern w:val="0"/>
                <w:sz w:val="24"/>
                <w:highlight w:val="none"/>
              </w:rPr>
            </w:pPr>
          </w:p>
        </w:tc>
        <w:tc>
          <w:tcPr>
            <w:tcW w:w="3291" w:type="dxa"/>
          </w:tcPr>
          <w:p w14:paraId="37812F12">
            <w:pPr>
              <w:jc w:val="center"/>
              <w:rPr>
                <w:rFonts w:ascii="宋体" w:hAnsi="宋体" w:eastAsia="宋体" w:cs="Times New Roman"/>
                <w:color w:val="000000"/>
                <w:kern w:val="0"/>
                <w:sz w:val="24"/>
                <w:highlight w:val="none"/>
              </w:rPr>
            </w:pPr>
            <w:r>
              <w:rPr>
                <w:rFonts w:ascii="宋体" w:hAnsi="宋体" w:eastAsia="宋体" w:cs="Times New Roman"/>
                <w:color w:val="000000"/>
                <w:kern w:val="0"/>
                <w:sz w:val="24"/>
                <w:highlight w:val="none"/>
              </w:rPr>
              <w:t>……</w:t>
            </w:r>
          </w:p>
        </w:tc>
        <w:tc>
          <w:tcPr>
            <w:tcW w:w="2852" w:type="dxa"/>
          </w:tcPr>
          <w:p w14:paraId="71F7A67E">
            <w:pPr>
              <w:jc w:val="center"/>
              <w:rPr>
                <w:rFonts w:ascii="宋体" w:hAnsi="宋体" w:eastAsia="宋体" w:cs="Times New Roman"/>
                <w:color w:val="000000"/>
                <w:kern w:val="0"/>
                <w:sz w:val="24"/>
                <w:highlight w:val="none"/>
              </w:rPr>
            </w:pPr>
          </w:p>
        </w:tc>
        <w:tc>
          <w:tcPr>
            <w:tcW w:w="1308" w:type="dxa"/>
          </w:tcPr>
          <w:p w14:paraId="44BB31A0">
            <w:pPr>
              <w:jc w:val="center"/>
              <w:rPr>
                <w:rFonts w:ascii="宋体" w:hAnsi="宋体" w:eastAsia="宋体" w:cs="Times New Roman"/>
                <w:color w:val="000000"/>
                <w:kern w:val="0"/>
                <w:sz w:val="24"/>
                <w:highlight w:val="none"/>
              </w:rPr>
            </w:pPr>
          </w:p>
        </w:tc>
        <w:tc>
          <w:tcPr>
            <w:tcW w:w="1173" w:type="dxa"/>
          </w:tcPr>
          <w:p w14:paraId="5C6B98B8">
            <w:pPr>
              <w:jc w:val="center"/>
              <w:rPr>
                <w:rFonts w:ascii="宋体" w:hAnsi="宋体" w:eastAsia="宋体" w:cs="Times New Roman"/>
                <w:color w:val="000000"/>
                <w:kern w:val="0"/>
                <w:sz w:val="24"/>
                <w:highlight w:val="none"/>
              </w:rPr>
            </w:pPr>
          </w:p>
        </w:tc>
      </w:tr>
    </w:tbl>
    <w:p w14:paraId="6533C9D5">
      <w:pPr>
        <w:rPr>
          <w:rFonts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注： 行数不够，可自行添加。</w:t>
      </w:r>
    </w:p>
    <w:p w14:paraId="0ED2E220">
      <w:pPr>
        <w:jc w:val="center"/>
        <w:rPr>
          <w:rFonts w:ascii="黑体" w:hAnsi="Arial" w:eastAsia="黑体" w:cs="Times New Roman"/>
          <w:b/>
          <w:color w:val="000000"/>
          <w:kern w:val="0"/>
          <w:sz w:val="36"/>
          <w:szCs w:val="21"/>
          <w:highlight w:val="none"/>
        </w:rPr>
      </w:pPr>
    </w:p>
    <w:p w14:paraId="4B398EC3">
      <w:pPr>
        <w:jc w:val="center"/>
        <w:rPr>
          <w:rFonts w:ascii="黑体" w:hAnsi="Arial" w:eastAsia="黑体" w:cs="Times New Roman"/>
          <w:b/>
          <w:color w:val="000000"/>
          <w:kern w:val="0"/>
          <w:sz w:val="36"/>
          <w:szCs w:val="21"/>
          <w:highlight w:val="none"/>
        </w:rPr>
      </w:pPr>
    </w:p>
    <w:p w14:paraId="7A269DF6">
      <w:pPr>
        <w:jc w:val="center"/>
        <w:rPr>
          <w:rFonts w:ascii="黑体" w:hAnsi="Arial" w:eastAsia="黑体" w:cs="Times New Roman"/>
          <w:b/>
          <w:color w:val="000000"/>
          <w:kern w:val="0"/>
          <w:sz w:val="36"/>
          <w:szCs w:val="21"/>
          <w:highlight w:val="none"/>
        </w:rPr>
      </w:pPr>
    </w:p>
    <w:p w14:paraId="3686DF61">
      <w:pPr>
        <w:jc w:val="center"/>
        <w:rPr>
          <w:rFonts w:ascii="黑体" w:hAnsi="Arial" w:eastAsia="黑体" w:cs="Times New Roman"/>
          <w:b/>
          <w:color w:val="000000"/>
          <w:kern w:val="0"/>
          <w:sz w:val="36"/>
          <w:szCs w:val="21"/>
          <w:highlight w:val="none"/>
        </w:rPr>
      </w:pPr>
    </w:p>
    <w:p w14:paraId="6F344D33">
      <w:pPr>
        <w:rPr>
          <w:rFonts w:ascii="黑体" w:hAnsi="Arial" w:eastAsia="黑体" w:cs="Times New Roman"/>
          <w:color w:val="000000"/>
          <w:kern w:val="0"/>
          <w:sz w:val="32"/>
          <w:szCs w:val="21"/>
          <w:highlight w:val="none"/>
        </w:rPr>
      </w:pPr>
    </w:p>
    <w:p w14:paraId="448289E0">
      <w:pPr>
        <w:rPr>
          <w:rFonts w:ascii="黑体" w:hAnsi="Arial" w:eastAsia="黑体" w:cs="Times New Roman"/>
          <w:color w:val="000000"/>
          <w:kern w:val="0"/>
          <w:sz w:val="32"/>
          <w:szCs w:val="21"/>
          <w:highlight w:val="none"/>
        </w:rPr>
      </w:pPr>
    </w:p>
    <w:p w14:paraId="5EF02306">
      <w:pPr>
        <w:rPr>
          <w:rFonts w:ascii="黑体" w:hAnsi="Arial" w:eastAsia="黑体" w:cs="Times New Roman"/>
          <w:color w:val="000000"/>
          <w:kern w:val="0"/>
          <w:sz w:val="32"/>
          <w:szCs w:val="21"/>
          <w:highlight w:val="none"/>
        </w:rPr>
      </w:pPr>
    </w:p>
    <w:p w14:paraId="3D7C966A">
      <w:pPr>
        <w:rPr>
          <w:rFonts w:ascii="黑体" w:hAnsi="Arial" w:eastAsia="黑体" w:cs="Times New Roman"/>
          <w:color w:val="000000"/>
          <w:kern w:val="0"/>
          <w:sz w:val="32"/>
          <w:szCs w:val="21"/>
          <w:highlight w:val="none"/>
        </w:rPr>
      </w:pPr>
    </w:p>
    <w:p w14:paraId="6FA3364C">
      <w:pPr>
        <w:rPr>
          <w:rFonts w:ascii="黑体" w:hAnsi="Arial" w:eastAsia="黑体" w:cs="Times New Roman"/>
          <w:color w:val="000000"/>
          <w:kern w:val="0"/>
          <w:sz w:val="32"/>
          <w:szCs w:val="21"/>
          <w:highlight w:val="none"/>
        </w:rPr>
      </w:pPr>
    </w:p>
    <w:p w14:paraId="636700FC">
      <w:pPr>
        <w:rPr>
          <w:rFonts w:ascii="黑体" w:hAnsi="Arial" w:eastAsia="黑体" w:cs="Times New Roman"/>
          <w:color w:val="000000"/>
          <w:kern w:val="0"/>
          <w:sz w:val="32"/>
          <w:szCs w:val="21"/>
          <w:highlight w:val="none"/>
        </w:rPr>
      </w:pPr>
    </w:p>
    <w:p w14:paraId="019DBBA9">
      <w:pPr>
        <w:ind w:left="256" w:right="6" w:firstLine="624"/>
        <w:rPr>
          <w:rFonts w:ascii="黑体" w:hAnsi="Arial" w:eastAsia="黑体" w:cs="Times New Roman"/>
          <w:color w:val="000000"/>
          <w:sz w:val="32"/>
          <w:szCs w:val="21"/>
          <w:highlight w:val="none"/>
        </w:rPr>
      </w:pPr>
    </w:p>
    <w:p w14:paraId="1B34FC64">
      <w:pPr>
        <w:ind w:left="256" w:right="6" w:firstLine="624"/>
        <w:rPr>
          <w:rFonts w:ascii="黑体" w:hAnsi="Arial" w:eastAsia="黑体" w:cs="Times New Roman"/>
          <w:color w:val="000000"/>
          <w:sz w:val="32"/>
          <w:szCs w:val="21"/>
          <w:highlight w:val="none"/>
        </w:rPr>
      </w:pPr>
    </w:p>
    <w:p w14:paraId="5AC3526F">
      <w:pPr>
        <w:ind w:left="256" w:right="6" w:firstLine="624"/>
        <w:rPr>
          <w:rFonts w:ascii="黑体" w:hAnsi="Arial" w:eastAsia="黑体" w:cs="Times New Roman"/>
          <w:color w:val="000000"/>
          <w:sz w:val="32"/>
          <w:szCs w:val="21"/>
          <w:highlight w:val="none"/>
        </w:rPr>
      </w:pPr>
    </w:p>
    <w:p w14:paraId="123E43F5">
      <w:pPr>
        <w:ind w:left="256" w:right="6" w:firstLine="624"/>
        <w:rPr>
          <w:rFonts w:ascii="黑体" w:hAnsi="Arial" w:eastAsia="黑体" w:cs="Times New Roman"/>
          <w:color w:val="000000"/>
          <w:sz w:val="32"/>
          <w:szCs w:val="21"/>
          <w:highlight w:val="none"/>
        </w:rPr>
      </w:pPr>
    </w:p>
    <w:p w14:paraId="79C1BEB4">
      <w:pPr>
        <w:ind w:left="256" w:right="6" w:firstLine="624"/>
        <w:rPr>
          <w:rFonts w:ascii="黑体" w:hAnsi="Arial" w:eastAsia="黑体" w:cs="Times New Roman"/>
          <w:color w:val="000000"/>
          <w:sz w:val="32"/>
          <w:szCs w:val="21"/>
          <w:highlight w:val="none"/>
        </w:rPr>
      </w:pPr>
    </w:p>
    <w:p w14:paraId="18BE0225">
      <w:pPr>
        <w:rPr>
          <w:rFonts w:ascii="黑体" w:hAnsi="Arial" w:eastAsia="黑体" w:cs="Times New Roman"/>
          <w:color w:val="000000"/>
          <w:kern w:val="0"/>
          <w:sz w:val="32"/>
          <w:szCs w:val="21"/>
          <w:highlight w:val="none"/>
        </w:rPr>
      </w:pPr>
    </w:p>
    <w:bookmarkEnd w:id="152"/>
    <w:p w14:paraId="4C64F791">
      <w:pPr>
        <w:jc w:val="center"/>
        <w:rPr>
          <w:rFonts w:ascii="黑体" w:hAnsi="黑体" w:eastAsia="黑体" w:cs="Times New Roman"/>
          <w:b/>
          <w:color w:val="000000"/>
          <w:kern w:val="0"/>
          <w:sz w:val="32"/>
          <w:szCs w:val="32"/>
          <w:highlight w:val="none"/>
        </w:rPr>
      </w:pPr>
      <w:bookmarkStart w:id="156" w:name="_Hlt26955054"/>
      <w:bookmarkEnd w:id="156"/>
      <w:r>
        <w:rPr>
          <w:rFonts w:hint="eastAsia" w:ascii="黑体" w:hAnsi="黑体" w:eastAsia="黑体" w:cs="Times New Roman"/>
          <w:b/>
          <w:color w:val="000000"/>
          <w:kern w:val="0"/>
          <w:sz w:val="32"/>
          <w:szCs w:val="32"/>
          <w:highlight w:val="none"/>
        </w:rPr>
        <w:t>十四、商务要求响应及偏离表</w:t>
      </w:r>
    </w:p>
    <w:tbl>
      <w:tblPr>
        <w:tblStyle w:val="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82"/>
        <w:gridCol w:w="2688"/>
        <w:gridCol w:w="2883"/>
        <w:gridCol w:w="1302"/>
        <w:gridCol w:w="1614"/>
      </w:tblGrid>
      <w:tr w14:paraId="186EF5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682" w:type="dxa"/>
            <w:vAlign w:val="center"/>
          </w:tcPr>
          <w:p w14:paraId="587A635F">
            <w:pPr>
              <w:jc w:val="center"/>
              <w:rPr>
                <w:rFonts w:ascii="宋体" w:hAnsi="宋体" w:eastAsia="宋体" w:cs="Times New Roman"/>
                <w:color w:val="000000"/>
                <w:kern w:val="0"/>
                <w:sz w:val="24"/>
                <w:highlight w:val="none"/>
              </w:rPr>
            </w:pPr>
            <w:bookmarkStart w:id="157" w:name="_Hlt26580838"/>
            <w:bookmarkEnd w:id="157"/>
            <w:bookmarkStart w:id="158" w:name="_Hlt26671372"/>
            <w:bookmarkEnd w:id="158"/>
            <w:bookmarkStart w:id="159" w:name="_Hlt26955064"/>
            <w:bookmarkEnd w:id="159"/>
            <w:bookmarkStart w:id="160" w:name="_Hlt26671343"/>
            <w:bookmarkEnd w:id="160"/>
            <w:bookmarkStart w:id="161" w:name="_Hlt26955056"/>
            <w:bookmarkEnd w:id="161"/>
            <w:bookmarkStart w:id="162" w:name="_Hlt24879081"/>
            <w:bookmarkEnd w:id="162"/>
            <w:bookmarkStart w:id="163" w:name="_Hlt26609391"/>
            <w:bookmarkEnd w:id="163"/>
            <w:bookmarkStart w:id="164" w:name="_Hlt26782999"/>
            <w:bookmarkEnd w:id="164"/>
            <w:r>
              <w:rPr>
                <w:rFonts w:hint="eastAsia" w:ascii="宋体" w:hAnsi="宋体" w:eastAsia="宋体" w:cs="Times New Roman"/>
                <w:color w:val="000000"/>
                <w:kern w:val="0"/>
                <w:sz w:val="24"/>
                <w:highlight w:val="none"/>
              </w:rPr>
              <w:t>序号</w:t>
            </w:r>
          </w:p>
        </w:tc>
        <w:tc>
          <w:tcPr>
            <w:tcW w:w="2688" w:type="dxa"/>
            <w:vAlign w:val="center"/>
          </w:tcPr>
          <w:p w14:paraId="6A430A5A">
            <w:pPr>
              <w:jc w:val="center"/>
              <w:rPr>
                <w:rFonts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招标文件要求</w:t>
            </w:r>
          </w:p>
        </w:tc>
        <w:tc>
          <w:tcPr>
            <w:tcW w:w="2883" w:type="dxa"/>
            <w:vAlign w:val="center"/>
          </w:tcPr>
          <w:p w14:paraId="28F10C8B">
            <w:pPr>
              <w:jc w:val="center"/>
              <w:rPr>
                <w:rFonts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投标响应情况</w:t>
            </w:r>
          </w:p>
        </w:tc>
        <w:tc>
          <w:tcPr>
            <w:tcW w:w="1302" w:type="dxa"/>
            <w:vAlign w:val="center"/>
          </w:tcPr>
          <w:p w14:paraId="427AEEE9">
            <w:pPr>
              <w:jc w:val="center"/>
              <w:rPr>
                <w:rFonts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超出、符合或偏离</w:t>
            </w:r>
          </w:p>
        </w:tc>
        <w:tc>
          <w:tcPr>
            <w:tcW w:w="1614" w:type="dxa"/>
            <w:vAlign w:val="center"/>
          </w:tcPr>
          <w:p w14:paraId="012C4640">
            <w:pPr>
              <w:jc w:val="center"/>
              <w:rPr>
                <w:rFonts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证明</w:t>
            </w:r>
          </w:p>
          <w:p w14:paraId="1A8FC46B">
            <w:pPr>
              <w:jc w:val="center"/>
              <w:rPr>
                <w:rFonts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材料</w:t>
            </w:r>
          </w:p>
        </w:tc>
      </w:tr>
      <w:tr w14:paraId="714060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tcPr>
          <w:p w14:paraId="73BC7B5B">
            <w:pPr>
              <w:jc w:val="center"/>
              <w:rPr>
                <w:rFonts w:ascii="宋体" w:hAnsi="宋体" w:eastAsia="宋体" w:cs="Times New Roman"/>
                <w:color w:val="000000"/>
                <w:kern w:val="0"/>
                <w:sz w:val="24"/>
                <w:highlight w:val="none"/>
              </w:rPr>
            </w:pPr>
          </w:p>
        </w:tc>
        <w:tc>
          <w:tcPr>
            <w:tcW w:w="2688" w:type="dxa"/>
          </w:tcPr>
          <w:p w14:paraId="20D54304">
            <w:pPr>
              <w:jc w:val="center"/>
              <w:rPr>
                <w:rFonts w:ascii="宋体" w:hAnsi="宋体" w:eastAsia="宋体" w:cs="Times New Roman"/>
                <w:color w:val="000000"/>
                <w:kern w:val="0"/>
                <w:sz w:val="24"/>
                <w:highlight w:val="none"/>
              </w:rPr>
            </w:pPr>
          </w:p>
        </w:tc>
        <w:tc>
          <w:tcPr>
            <w:tcW w:w="2883" w:type="dxa"/>
          </w:tcPr>
          <w:p w14:paraId="3078B05E">
            <w:pPr>
              <w:jc w:val="center"/>
              <w:rPr>
                <w:rFonts w:ascii="宋体" w:hAnsi="宋体" w:eastAsia="宋体" w:cs="Times New Roman"/>
                <w:color w:val="000000"/>
                <w:kern w:val="0"/>
                <w:sz w:val="24"/>
                <w:highlight w:val="none"/>
              </w:rPr>
            </w:pPr>
          </w:p>
        </w:tc>
        <w:tc>
          <w:tcPr>
            <w:tcW w:w="1302" w:type="dxa"/>
          </w:tcPr>
          <w:p w14:paraId="2112DDAB">
            <w:pPr>
              <w:jc w:val="center"/>
              <w:rPr>
                <w:rFonts w:ascii="宋体" w:hAnsi="宋体" w:eastAsia="宋体" w:cs="Times New Roman"/>
                <w:color w:val="000000"/>
                <w:kern w:val="0"/>
                <w:sz w:val="24"/>
                <w:highlight w:val="none"/>
              </w:rPr>
            </w:pPr>
          </w:p>
        </w:tc>
        <w:tc>
          <w:tcPr>
            <w:tcW w:w="1614" w:type="dxa"/>
          </w:tcPr>
          <w:p w14:paraId="6BCEA297">
            <w:pPr>
              <w:jc w:val="center"/>
              <w:rPr>
                <w:rFonts w:ascii="宋体" w:hAnsi="宋体" w:eastAsia="宋体" w:cs="Times New Roman"/>
                <w:color w:val="000000"/>
                <w:kern w:val="0"/>
                <w:sz w:val="24"/>
                <w:highlight w:val="none"/>
              </w:rPr>
            </w:pPr>
          </w:p>
        </w:tc>
      </w:tr>
      <w:tr w14:paraId="4E0C83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tcPr>
          <w:p w14:paraId="4DD28D68">
            <w:pPr>
              <w:jc w:val="center"/>
              <w:rPr>
                <w:rFonts w:ascii="宋体" w:hAnsi="宋体" w:eastAsia="宋体" w:cs="Times New Roman"/>
                <w:color w:val="000000"/>
                <w:kern w:val="0"/>
                <w:sz w:val="24"/>
                <w:highlight w:val="none"/>
              </w:rPr>
            </w:pPr>
          </w:p>
        </w:tc>
        <w:tc>
          <w:tcPr>
            <w:tcW w:w="2688" w:type="dxa"/>
          </w:tcPr>
          <w:p w14:paraId="2187A2A1">
            <w:pPr>
              <w:jc w:val="center"/>
              <w:rPr>
                <w:rFonts w:ascii="宋体" w:hAnsi="宋体" w:eastAsia="宋体" w:cs="Times New Roman"/>
                <w:color w:val="000000"/>
                <w:kern w:val="0"/>
                <w:sz w:val="24"/>
                <w:highlight w:val="none"/>
              </w:rPr>
            </w:pPr>
          </w:p>
        </w:tc>
        <w:tc>
          <w:tcPr>
            <w:tcW w:w="2883" w:type="dxa"/>
          </w:tcPr>
          <w:p w14:paraId="6B76B7C7">
            <w:pPr>
              <w:jc w:val="center"/>
              <w:rPr>
                <w:rFonts w:ascii="宋体" w:hAnsi="宋体" w:eastAsia="宋体" w:cs="Times New Roman"/>
                <w:color w:val="000000"/>
                <w:kern w:val="0"/>
                <w:sz w:val="24"/>
                <w:highlight w:val="none"/>
              </w:rPr>
            </w:pPr>
          </w:p>
        </w:tc>
        <w:tc>
          <w:tcPr>
            <w:tcW w:w="1302" w:type="dxa"/>
          </w:tcPr>
          <w:p w14:paraId="44753D76">
            <w:pPr>
              <w:jc w:val="center"/>
              <w:rPr>
                <w:rFonts w:ascii="宋体" w:hAnsi="宋体" w:eastAsia="宋体" w:cs="Times New Roman"/>
                <w:color w:val="000000"/>
                <w:kern w:val="0"/>
                <w:sz w:val="24"/>
                <w:highlight w:val="none"/>
              </w:rPr>
            </w:pPr>
          </w:p>
        </w:tc>
        <w:tc>
          <w:tcPr>
            <w:tcW w:w="1614" w:type="dxa"/>
          </w:tcPr>
          <w:p w14:paraId="60C3AE8F">
            <w:pPr>
              <w:jc w:val="center"/>
              <w:rPr>
                <w:rFonts w:ascii="宋体" w:hAnsi="宋体" w:eastAsia="宋体" w:cs="Times New Roman"/>
                <w:color w:val="000000"/>
                <w:kern w:val="0"/>
                <w:sz w:val="24"/>
                <w:highlight w:val="none"/>
              </w:rPr>
            </w:pPr>
          </w:p>
        </w:tc>
      </w:tr>
      <w:tr w14:paraId="34C23D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tcPr>
          <w:p w14:paraId="512B5594">
            <w:pPr>
              <w:jc w:val="center"/>
              <w:rPr>
                <w:rFonts w:ascii="宋体" w:hAnsi="宋体" w:eastAsia="宋体" w:cs="Times New Roman"/>
                <w:color w:val="000000"/>
                <w:kern w:val="0"/>
                <w:sz w:val="24"/>
                <w:highlight w:val="none"/>
              </w:rPr>
            </w:pPr>
          </w:p>
        </w:tc>
        <w:tc>
          <w:tcPr>
            <w:tcW w:w="2688" w:type="dxa"/>
          </w:tcPr>
          <w:p w14:paraId="067EF39F">
            <w:pPr>
              <w:jc w:val="center"/>
              <w:rPr>
                <w:rFonts w:ascii="宋体" w:hAnsi="宋体" w:eastAsia="宋体" w:cs="Times New Roman"/>
                <w:color w:val="000000"/>
                <w:kern w:val="0"/>
                <w:sz w:val="24"/>
                <w:highlight w:val="none"/>
              </w:rPr>
            </w:pPr>
          </w:p>
        </w:tc>
        <w:tc>
          <w:tcPr>
            <w:tcW w:w="2883" w:type="dxa"/>
          </w:tcPr>
          <w:p w14:paraId="4F54E0F8">
            <w:pPr>
              <w:jc w:val="center"/>
              <w:rPr>
                <w:rFonts w:ascii="宋体" w:hAnsi="宋体" w:eastAsia="宋体" w:cs="Times New Roman"/>
                <w:color w:val="000000"/>
                <w:kern w:val="0"/>
                <w:sz w:val="24"/>
                <w:highlight w:val="none"/>
              </w:rPr>
            </w:pPr>
          </w:p>
        </w:tc>
        <w:tc>
          <w:tcPr>
            <w:tcW w:w="1302" w:type="dxa"/>
          </w:tcPr>
          <w:p w14:paraId="06476B81">
            <w:pPr>
              <w:jc w:val="center"/>
              <w:rPr>
                <w:rFonts w:ascii="宋体" w:hAnsi="宋体" w:eastAsia="宋体" w:cs="Times New Roman"/>
                <w:color w:val="000000"/>
                <w:kern w:val="0"/>
                <w:sz w:val="24"/>
                <w:highlight w:val="none"/>
              </w:rPr>
            </w:pPr>
          </w:p>
        </w:tc>
        <w:tc>
          <w:tcPr>
            <w:tcW w:w="1614" w:type="dxa"/>
          </w:tcPr>
          <w:p w14:paraId="7CF3EC6E">
            <w:pPr>
              <w:jc w:val="center"/>
              <w:rPr>
                <w:rFonts w:ascii="宋体" w:hAnsi="宋体" w:eastAsia="宋体" w:cs="Times New Roman"/>
                <w:color w:val="000000"/>
                <w:kern w:val="0"/>
                <w:sz w:val="24"/>
                <w:highlight w:val="none"/>
              </w:rPr>
            </w:pPr>
          </w:p>
        </w:tc>
      </w:tr>
      <w:tr w14:paraId="6812DF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tcPr>
          <w:p w14:paraId="1ABD8BE6">
            <w:pPr>
              <w:jc w:val="center"/>
              <w:rPr>
                <w:rFonts w:ascii="宋体" w:hAnsi="宋体" w:eastAsia="宋体" w:cs="Times New Roman"/>
                <w:color w:val="000000"/>
                <w:kern w:val="0"/>
                <w:sz w:val="24"/>
                <w:highlight w:val="none"/>
              </w:rPr>
            </w:pPr>
          </w:p>
        </w:tc>
        <w:tc>
          <w:tcPr>
            <w:tcW w:w="2688" w:type="dxa"/>
          </w:tcPr>
          <w:p w14:paraId="74ACC5D3">
            <w:pPr>
              <w:jc w:val="center"/>
              <w:rPr>
                <w:rFonts w:ascii="宋体" w:hAnsi="宋体" w:eastAsia="宋体" w:cs="Times New Roman"/>
                <w:color w:val="000000"/>
                <w:kern w:val="0"/>
                <w:sz w:val="24"/>
                <w:highlight w:val="none"/>
              </w:rPr>
            </w:pPr>
          </w:p>
        </w:tc>
        <w:tc>
          <w:tcPr>
            <w:tcW w:w="2883" w:type="dxa"/>
          </w:tcPr>
          <w:p w14:paraId="232E369A">
            <w:pPr>
              <w:jc w:val="center"/>
              <w:rPr>
                <w:rFonts w:ascii="宋体" w:hAnsi="宋体" w:eastAsia="宋体" w:cs="Times New Roman"/>
                <w:color w:val="000000"/>
                <w:kern w:val="0"/>
                <w:sz w:val="24"/>
                <w:highlight w:val="none"/>
              </w:rPr>
            </w:pPr>
          </w:p>
        </w:tc>
        <w:tc>
          <w:tcPr>
            <w:tcW w:w="1302" w:type="dxa"/>
          </w:tcPr>
          <w:p w14:paraId="3EF16AAB">
            <w:pPr>
              <w:jc w:val="center"/>
              <w:rPr>
                <w:rFonts w:ascii="宋体" w:hAnsi="宋体" w:eastAsia="宋体" w:cs="Times New Roman"/>
                <w:color w:val="000000"/>
                <w:kern w:val="0"/>
                <w:sz w:val="24"/>
                <w:highlight w:val="none"/>
              </w:rPr>
            </w:pPr>
          </w:p>
        </w:tc>
        <w:tc>
          <w:tcPr>
            <w:tcW w:w="1614" w:type="dxa"/>
          </w:tcPr>
          <w:p w14:paraId="4E95E8DA">
            <w:pPr>
              <w:jc w:val="center"/>
              <w:rPr>
                <w:rFonts w:ascii="宋体" w:hAnsi="宋体" w:eastAsia="宋体" w:cs="Times New Roman"/>
                <w:color w:val="000000"/>
                <w:kern w:val="0"/>
                <w:sz w:val="24"/>
                <w:highlight w:val="none"/>
              </w:rPr>
            </w:pPr>
          </w:p>
        </w:tc>
      </w:tr>
      <w:tr w14:paraId="316183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tcPr>
          <w:p w14:paraId="370284E7">
            <w:pPr>
              <w:jc w:val="center"/>
              <w:rPr>
                <w:rFonts w:ascii="宋体" w:hAnsi="宋体" w:eastAsia="宋体" w:cs="Times New Roman"/>
                <w:color w:val="000000"/>
                <w:kern w:val="0"/>
                <w:sz w:val="24"/>
                <w:highlight w:val="none"/>
              </w:rPr>
            </w:pPr>
          </w:p>
        </w:tc>
        <w:tc>
          <w:tcPr>
            <w:tcW w:w="2688" w:type="dxa"/>
          </w:tcPr>
          <w:p w14:paraId="76B173B2">
            <w:pPr>
              <w:jc w:val="center"/>
              <w:rPr>
                <w:rFonts w:ascii="宋体" w:hAnsi="宋体" w:eastAsia="宋体" w:cs="Times New Roman"/>
                <w:color w:val="000000"/>
                <w:kern w:val="0"/>
                <w:sz w:val="24"/>
                <w:highlight w:val="none"/>
              </w:rPr>
            </w:pPr>
          </w:p>
        </w:tc>
        <w:tc>
          <w:tcPr>
            <w:tcW w:w="2883" w:type="dxa"/>
          </w:tcPr>
          <w:p w14:paraId="10B07571">
            <w:pPr>
              <w:jc w:val="center"/>
              <w:rPr>
                <w:rFonts w:ascii="宋体" w:hAnsi="宋体" w:eastAsia="宋体" w:cs="Times New Roman"/>
                <w:color w:val="000000"/>
                <w:kern w:val="0"/>
                <w:sz w:val="24"/>
                <w:highlight w:val="none"/>
              </w:rPr>
            </w:pPr>
          </w:p>
        </w:tc>
        <w:tc>
          <w:tcPr>
            <w:tcW w:w="1302" w:type="dxa"/>
          </w:tcPr>
          <w:p w14:paraId="5C963A9A">
            <w:pPr>
              <w:jc w:val="center"/>
              <w:rPr>
                <w:rFonts w:ascii="宋体" w:hAnsi="宋体" w:eastAsia="宋体" w:cs="Times New Roman"/>
                <w:color w:val="000000"/>
                <w:kern w:val="0"/>
                <w:sz w:val="24"/>
                <w:highlight w:val="none"/>
              </w:rPr>
            </w:pPr>
          </w:p>
        </w:tc>
        <w:tc>
          <w:tcPr>
            <w:tcW w:w="1614" w:type="dxa"/>
          </w:tcPr>
          <w:p w14:paraId="0A531BE3">
            <w:pPr>
              <w:jc w:val="center"/>
              <w:rPr>
                <w:rFonts w:ascii="宋体" w:hAnsi="宋体" w:eastAsia="宋体" w:cs="Times New Roman"/>
                <w:color w:val="000000"/>
                <w:kern w:val="0"/>
                <w:sz w:val="24"/>
                <w:highlight w:val="none"/>
              </w:rPr>
            </w:pPr>
          </w:p>
        </w:tc>
      </w:tr>
      <w:tr w14:paraId="35B151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tcPr>
          <w:p w14:paraId="04F2E3B1">
            <w:pPr>
              <w:jc w:val="center"/>
              <w:rPr>
                <w:rFonts w:ascii="宋体" w:hAnsi="宋体" w:eastAsia="宋体" w:cs="Times New Roman"/>
                <w:color w:val="000000"/>
                <w:kern w:val="0"/>
                <w:sz w:val="24"/>
                <w:highlight w:val="none"/>
              </w:rPr>
            </w:pPr>
          </w:p>
        </w:tc>
        <w:tc>
          <w:tcPr>
            <w:tcW w:w="2688" w:type="dxa"/>
          </w:tcPr>
          <w:p w14:paraId="7515BE8F">
            <w:pPr>
              <w:jc w:val="center"/>
              <w:rPr>
                <w:rFonts w:ascii="宋体" w:hAnsi="宋体" w:eastAsia="宋体" w:cs="Times New Roman"/>
                <w:color w:val="000000"/>
                <w:kern w:val="0"/>
                <w:sz w:val="24"/>
                <w:highlight w:val="none"/>
              </w:rPr>
            </w:pPr>
          </w:p>
        </w:tc>
        <w:tc>
          <w:tcPr>
            <w:tcW w:w="2883" w:type="dxa"/>
          </w:tcPr>
          <w:p w14:paraId="5E3C7C2B">
            <w:pPr>
              <w:jc w:val="center"/>
              <w:rPr>
                <w:rFonts w:ascii="宋体" w:hAnsi="宋体" w:eastAsia="宋体" w:cs="Times New Roman"/>
                <w:color w:val="000000"/>
                <w:kern w:val="0"/>
                <w:sz w:val="24"/>
                <w:highlight w:val="none"/>
              </w:rPr>
            </w:pPr>
          </w:p>
        </w:tc>
        <w:tc>
          <w:tcPr>
            <w:tcW w:w="1302" w:type="dxa"/>
          </w:tcPr>
          <w:p w14:paraId="51746027">
            <w:pPr>
              <w:jc w:val="center"/>
              <w:rPr>
                <w:rFonts w:ascii="宋体" w:hAnsi="宋体" w:eastAsia="宋体" w:cs="Times New Roman"/>
                <w:color w:val="000000"/>
                <w:kern w:val="0"/>
                <w:sz w:val="24"/>
                <w:highlight w:val="none"/>
              </w:rPr>
            </w:pPr>
          </w:p>
        </w:tc>
        <w:tc>
          <w:tcPr>
            <w:tcW w:w="1614" w:type="dxa"/>
          </w:tcPr>
          <w:p w14:paraId="78998C89">
            <w:pPr>
              <w:jc w:val="center"/>
              <w:rPr>
                <w:rFonts w:ascii="宋体" w:hAnsi="宋体" w:eastAsia="宋体" w:cs="Times New Roman"/>
                <w:color w:val="000000"/>
                <w:kern w:val="0"/>
                <w:sz w:val="24"/>
                <w:highlight w:val="none"/>
              </w:rPr>
            </w:pPr>
          </w:p>
        </w:tc>
      </w:tr>
      <w:tr w14:paraId="5685B9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tcPr>
          <w:p w14:paraId="6E9D7880">
            <w:pPr>
              <w:jc w:val="center"/>
              <w:rPr>
                <w:rFonts w:ascii="宋体" w:hAnsi="宋体" w:eastAsia="宋体" w:cs="Times New Roman"/>
                <w:color w:val="000000"/>
                <w:kern w:val="0"/>
                <w:sz w:val="24"/>
                <w:highlight w:val="none"/>
              </w:rPr>
            </w:pPr>
          </w:p>
        </w:tc>
        <w:tc>
          <w:tcPr>
            <w:tcW w:w="2688" w:type="dxa"/>
          </w:tcPr>
          <w:p w14:paraId="2A24A6B6">
            <w:pPr>
              <w:jc w:val="center"/>
              <w:rPr>
                <w:rFonts w:ascii="宋体" w:hAnsi="宋体" w:eastAsia="宋体" w:cs="Times New Roman"/>
                <w:color w:val="000000"/>
                <w:kern w:val="0"/>
                <w:sz w:val="24"/>
                <w:highlight w:val="none"/>
              </w:rPr>
            </w:pPr>
          </w:p>
        </w:tc>
        <w:tc>
          <w:tcPr>
            <w:tcW w:w="2883" w:type="dxa"/>
          </w:tcPr>
          <w:p w14:paraId="5B1C5049">
            <w:pPr>
              <w:jc w:val="center"/>
              <w:rPr>
                <w:rFonts w:ascii="宋体" w:hAnsi="宋体" w:eastAsia="宋体" w:cs="Times New Roman"/>
                <w:color w:val="000000"/>
                <w:kern w:val="0"/>
                <w:sz w:val="24"/>
                <w:highlight w:val="none"/>
              </w:rPr>
            </w:pPr>
          </w:p>
        </w:tc>
        <w:tc>
          <w:tcPr>
            <w:tcW w:w="1302" w:type="dxa"/>
          </w:tcPr>
          <w:p w14:paraId="6840D4E3">
            <w:pPr>
              <w:jc w:val="center"/>
              <w:rPr>
                <w:rFonts w:ascii="宋体" w:hAnsi="宋体" w:eastAsia="宋体" w:cs="Times New Roman"/>
                <w:color w:val="000000"/>
                <w:kern w:val="0"/>
                <w:sz w:val="24"/>
                <w:highlight w:val="none"/>
              </w:rPr>
            </w:pPr>
          </w:p>
        </w:tc>
        <w:tc>
          <w:tcPr>
            <w:tcW w:w="1614" w:type="dxa"/>
          </w:tcPr>
          <w:p w14:paraId="1A33F68A">
            <w:pPr>
              <w:jc w:val="center"/>
              <w:rPr>
                <w:rFonts w:ascii="宋体" w:hAnsi="宋体" w:eastAsia="宋体" w:cs="Times New Roman"/>
                <w:color w:val="000000"/>
                <w:kern w:val="0"/>
                <w:sz w:val="24"/>
                <w:highlight w:val="none"/>
              </w:rPr>
            </w:pPr>
          </w:p>
        </w:tc>
      </w:tr>
      <w:tr w14:paraId="529031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tcPr>
          <w:p w14:paraId="631A8098">
            <w:pPr>
              <w:jc w:val="center"/>
              <w:rPr>
                <w:rFonts w:ascii="宋体" w:hAnsi="宋体" w:eastAsia="宋体" w:cs="Times New Roman"/>
                <w:color w:val="000000"/>
                <w:kern w:val="0"/>
                <w:sz w:val="24"/>
                <w:highlight w:val="none"/>
              </w:rPr>
            </w:pPr>
          </w:p>
        </w:tc>
        <w:tc>
          <w:tcPr>
            <w:tcW w:w="2688" w:type="dxa"/>
          </w:tcPr>
          <w:p w14:paraId="0AC42DE0">
            <w:pPr>
              <w:jc w:val="center"/>
              <w:rPr>
                <w:rFonts w:ascii="宋体" w:hAnsi="宋体" w:eastAsia="宋体" w:cs="Times New Roman"/>
                <w:color w:val="000000"/>
                <w:kern w:val="0"/>
                <w:sz w:val="24"/>
                <w:highlight w:val="none"/>
              </w:rPr>
            </w:pPr>
          </w:p>
        </w:tc>
        <w:tc>
          <w:tcPr>
            <w:tcW w:w="2883" w:type="dxa"/>
          </w:tcPr>
          <w:p w14:paraId="23209802">
            <w:pPr>
              <w:jc w:val="center"/>
              <w:rPr>
                <w:rFonts w:ascii="宋体" w:hAnsi="宋体" w:eastAsia="宋体" w:cs="Times New Roman"/>
                <w:color w:val="000000"/>
                <w:kern w:val="0"/>
                <w:sz w:val="24"/>
                <w:highlight w:val="none"/>
              </w:rPr>
            </w:pPr>
          </w:p>
        </w:tc>
        <w:tc>
          <w:tcPr>
            <w:tcW w:w="1302" w:type="dxa"/>
          </w:tcPr>
          <w:p w14:paraId="34744FF5">
            <w:pPr>
              <w:jc w:val="center"/>
              <w:rPr>
                <w:rFonts w:ascii="宋体" w:hAnsi="宋体" w:eastAsia="宋体" w:cs="Times New Roman"/>
                <w:color w:val="000000"/>
                <w:kern w:val="0"/>
                <w:sz w:val="24"/>
                <w:highlight w:val="none"/>
              </w:rPr>
            </w:pPr>
          </w:p>
        </w:tc>
        <w:tc>
          <w:tcPr>
            <w:tcW w:w="1614" w:type="dxa"/>
          </w:tcPr>
          <w:p w14:paraId="6D2C2B90">
            <w:pPr>
              <w:jc w:val="center"/>
              <w:rPr>
                <w:rFonts w:ascii="宋体" w:hAnsi="宋体" w:eastAsia="宋体" w:cs="Times New Roman"/>
                <w:color w:val="000000"/>
                <w:kern w:val="0"/>
                <w:sz w:val="24"/>
                <w:highlight w:val="none"/>
              </w:rPr>
            </w:pPr>
          </w:p>
        </w:tc>
      </w:tr>
    </w:tbl>
    <w:p w14:paraId="00B6450C">
      <w:pPr>
        <w:rPr>
          <w:rFonts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注： 行数不够，可自行添加。</w:t>
      </w:r>
    </w:p>
    <w:p w14:paraId="6B838CDD">
      <w:pPr>
        <w:spacing w:line="480" w:lineRule="auto"/>
        <w:rPr>
          <w:rFonts w:ascii="宋体" w:hAnsi="宋体" w:eastAsia="宋体" w:cs="Times New Roman"/>
          <w:color w:val="000000"/>
          <w:kern w:val="0"/>
          <w:sz w:val="24"/>
          <w:szCs w:val="21"/>
          <w:highlight w:val="none"/>
        </w:rPr>
      </w:pPr>
    </w:p>
    <w:p w14:paraId="30BFDA45">
      <w:pPr>
        <w:spacing w:line="480" w:lineRule="auto"/>
        <w:rPr>
          <w:rFonts w:ascii="仿宋_GB2312" w:hAnsi="Arial" w:eastAsia="宋体" w:cs="Times New Roman"/>
          <w:color w:val="000000"/>
          <w:kern w:val="0"/>
          <w:sz w:val="30"/>
          <w:szCs w:val="21"/>
          <w:highlight w:val="none"/>
        </w:rPr>
      </w:pPr>
    </w:p>
    <w:p w14:paraId="4B25624E">
      <w:pPr>
        <w:rPr>
          <w:rFonts w:ascii="宋体" w:hAnsi="宋体" w:eastAsia="宋体" w:cs="Times New Roman"/>
          <w:color w:val="000000"/>
          <w:sz w:val="24"/>
          <w:szCs w:val="21"/>
          <w:highlight w:val="none"/>
        </w:rPr>
      </w:pPr>
      <w:bookmarkStart w:id="165" w:name="_Hlt26609389"/>
      <w:bookmarkEnd w:id="165"/>
      <w:bookmarkStart w:id="166" w:name="_Hlt26671374"/>
      <w:bookmarkEnd w:id="166"/>
      <w:bookmarkStart w:id="167" w:name="_Hlt26955066"/>
      <w:bookmarkEnd w:id="167"/>
      <w:bookmarkStart w:id="168" w:name="_Toc462564146"/>
    </w:p>
    <w:bookmarkEnd w:id="168"/>
    <w:p w14:paraId="743930FC">
      <w:pPr>
        <w:jc w:val="center"/>
        <w:rPr>
          <w:rFonts w:ascii="黑体" w:hAnsi="黑体" w:eastAsia="黑体" w:cs="Times New Roman"/>
          <w:b/>
          <w:color w:val="000000"/>
          <w:kern w:val="0"/>
          <w:sz w:val="32"/>
          <w:szCs w:val="32"/>
          <w:highlight w:val="none"/>
        </w:rPr>
      </w:pPr>
      <w:bookmarkStart w:id="169" w:name="_格式2__法定代表人授权书"/>
      <w:bookmarkEnd w:id="169"/>
    </w:p>
    <w:p w14:paraId="51192DE7">
      <w:pPr>
        <w:jc w:val="center"/>
        <w:rPr>
          <w:rFonts w:ascii="黑体" w:hAnsi="黑体" w:eastAsia="黑体" w:cs="Times New Roman"/>
          <w:b/>
          <w:color w:val="000000"/>
          <w:kern w:val="0"/>
          <w:sz w:val="32"/>
          <w:szCs w:val="32"/>
          <w:highlight w:val="none"/>
        </w:rPr>
      </w:pPr>
    </w:p>
    <w:p w14:paraId="4E02E895">
      <w:pPr>
        <w:rPr>
          <w:rFonts w:ascii="楷体_GB2312" w:hAnsi="Arial" w:eastAsia="楷体_GB2312" w:cs="Times New Roman"/>
          <w:color w:val="000000"/>
          <w:sz w:val="28"/>
          <w:szCs w:val="28"/>
          <w:highlight w:val="none"/>
        </w:rPr>
      </w:pPr>
    </w:p>
    <w:p w14:paraId="60A18B05">
      <w:pPr>
        <w:rPr>
          <w:rFonts w:ascii="黑体" w:hAnsi="黑体" w:eastAsia="黑体" w:cs="Times New Roman"/>
          <w:b/>
          <w:color w:val="000000"/>
          <w:kern w:val="0"/>
          <w:sz w:val="32"/>
          <w:szCs w:val="32"/>
          <w:highlight w:val="none"/>
        </w:rPr>
      </w:pPr>
    </w:p>
    <w:p w14:paraId="305F386D">
      <w:pPr>
        <w:rPr>
          <w:rFonts w:ascii="黑体" w:hAnsi="黑体" w:eastAsia="黑体" w:cs="Times New Roman"/>
          <w:b/>
          <w:color w:val="000000"/>
          <w:sz w:val="32"/>
          <w:szCs w:val="32"/>
          <w:highlight w:val="none"/>
        </w:rPr>
      </w:pPr>
    </w:p>
    <w:p w14:paraId="50047FDE">
      <w:pPr>
        <w:rPr>
          <w:rFonts w:ascii="黑体" w:hAnsi="黑体" w:eastAsia="黑体" w:cs="Times New Roman"/>
          <w:b/>
          <w:color w:val="000000"/>
          <w:sz w:val="32"/>
          <w:szCs w:val="32"/>
          <w:highlight w:val="none"/>
        </w:rPr>
      </w:pPr>
    </w:p>
    <w:p w14:paraId="57AA526C">
      <w:pPr>
        <w:rPr>
          <w:rFonts w:ascii="黑体" w:hAnsi="黑体" w:eastAsia="黑体" w:cs="Times New Roman"/>
          <w:b/>
          <w:color w:val="000000"/>
          <w:sz w:val="32"/>
          <w:szCs w:val="32"/>
          <w:highlight w:val="none"/>
        </w:rPr>
      </w:pPr>
    </w:p>
    <w:p w14:paraId="3C28CCDB">
      <w:pPr>
        <w:rPr>
          <w:rFonts w:ascii="黑体" w:hAnsi="黑体" w:eastAsia="黑体" w:cs="Times New Roman"/>
          <w:b/>
          <w:color w:val="000000"/>
          <w:sz w:val="32"/>
          <w:szCs w:val="32"/>
          <w:highlight w:val="none"/>
        </w:rPr>
      </w:pPr>
    </w:p>
    <w:p w14:paraId="0447BC50">
      <w:pPr>
        <w:rPr>
          <w:rFonts w:ascii="黑体" w:hAnsi="黑体" w:eastAsia="黑体" w:cs="Times New Roman"/>
          <w:b/>
          <w:color w:val="000000"/>
          <w:sz w:val="32"/>
          <w:szCs w:val="32"/>
          <w:highlight w:val="none"/>
        </w:rPr>
      </w:pPr>
    </w:p>
    <w:p w14:paraId="4F0FF8DE">
      <w:pPr>
        <w:rPr>
          <w:rFonts w:ascii="黑体" w:hAnsi="黑体" w:eastAsia="黑体" w:cs="Times New Roman"/>
          <w:b/>
          <w:color w:val="000000"/>
          <w:sz w:val="32"/>
          <w:szCs w:val="32"/>
          <w:highlight w:val="none"/>
        </w:rPr>
      </w:pPr>
    </w:p>
    <w:p w14:paraId="32CB3225">
      <w:pPr>
        <w:rPr>
          <w:rFonts w:ascii="黑体" w:hAnsi="黑体" w:eastAsia="黑体" w:cs="Times New Roman"/>
          <w:b/>
          <w:color w:val="000000"/>
          <w:sz w:val="32"/>
          <w:szCs w:val="32"/>
          <w:highlight w:val="none"/>
        </w:rPr>
      </w:pPr>
    </w:p>
    <w:p w14:paraId="384F7295">
      <w:pPr>
        <w:rPr>
          <w:rFonts w:ascii="黑体" w:hAnsi="黑体" w:eastAsia="黑体" w:cs="Times New Roman"/>
          <w:b/>
          <w:color w:val="000000"/>
          <w:sz w:val="32"/>
          <w:szCs w:val="32"/>
          <w:highlight w:val="none"/>
        </w:rPr>
      </w:pPr>
    </w:p>
    <w:p w14:paraId="5AEBA05C">
      <w:pPr>
        <w:rPr>
          <w:rFonts w:ascii="黑体" w:hAnsi="黑体" w:eastAsia="黑体" w:cs="Times New Roman"/>
          <w:b/>
          <w:color w:val="000000"/>
          <w:sz w:val="32"/>
          <w:szCs w:val="32"/>
          <w:highlight w:val="none"/>
        </w:rPr>
      </w:pPr>
    </w:p>
    <w:p w14:paraId="1C73C849">
      <w:pPr>
        <w:rPr>
          <w:rFonts w:ascii="黑体" w:hAnsi="黑体" w:eastAsia="黑体" w:cs="Times New Roman"/>
          <w:b/>
          <w:color w:val="000000"/>
          <w:kern w:val="0"/>
          <w:sz w:val="32"/>
          <w:szCs w:val="32"/>
          <w:highlight w:val="none"/>
        </w:rPr>
      </w:pPr>
    </w:p>
    <w:p w14:paraId="20D74A59">
      <w:pPr>
        <w:rPr>
          <w:rFonts w:ascii="Times New Roman" w:hAnsi="Times New Roman" w:eastAsia="仿宋_GB2312" w:cs="Times New Roman"/>
          <w:color w:val="000000"/>
          <w:kern w:val="0"/>
          <w:sz w:val="24"/>
          <w:szCs w:val="20"/>
          <w:highlight w:val="none"/>
        </w:rPr>
      </w:pPr>
      <w:r>
        <w:rPr>
          <w:rFonts w:hint="eastAsia" w:ascii="黑体" w:hAnsi="黑体" w:eastAsia="黑体" w:cs="Times New Roman"/>
          <w:b/>
          <w:color w:val="000000"/>
          <w:kern w:val="0"/>
          <w:sz w:val="32"/>
          <w:szCs w:val="32"/>
          <w:highlight w:val="none"/>
        </w:rPr>
        <w:t>十五、开标一览表</w:t>
      </w:r>
    </w:p>
    <w:p w14:paraId="7E4C0A26">
      <w:pPr>
        <w:ind w:firstLine="480"/>
        <w:rPr>
          <w:rFonts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投标人全称（加盖CA电子签章）：</w:t>
      </w:r>
    </w:p>
    <w:p w14:paraId="462E617E">
      <w:pPr>
        <w:ind w:firstLine="480"/>
        <w:rPr>
          <w:rFonts w:ascii="Times New Roman" w:hAnsi="Times New Roman" w:eastAsia="宋体" w:cs="Times New Roman"/>
          <w:color w:val="000000"/>
          <w:kern w:val="0"/>
          <w:sz w:val="24"/>
          <w:highlight w:val="none"/>
        </w:rPr>
      </w:pPr>
      <w:r>
        <w:rPr>
          <w:rFonts w:hint="eastAsia" w:ascii="宋体" w:hAnsi="宋体" w:eastAsia="宋体" w:cs="Times New Roman"/>
          <w:color w:val="000000"/>
          <w:kern w:val="0"/>
          <w:sz w:val="24"/>
          <w:highlight w:val="none"/>
        </w:rPr>
        <w:t>项目名称：</w:t>
      </w:r>
    </w:p>
    <w:p w14:paraId="7C5F0B31">
      <w:pPr>
        <w:ind w:firstLine="480"/>
        <w:rPr>
          <w:rFonts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 xml:space="preserve">招标编号：                                   </w:t>
      </w:r>
    </w:p>
    <w:tbl>
      <w:tblPr>
        <w:tblStyle w:val="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40"/>
        <w:gridCol w:w="6666"/>
      </w:tblGrid>
      <w:tr w14:paraId="7C4B3E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8206" w:type="dxa"/>
            <w:gridSpan w:val="2"/>
            <w:vAlign w:val="center"/>
          </w:tcPr>
          <w:p w14:paraId="653D50A2">
            <w:pPr>
              <w:rPr>
                <w:rFonts w:ascii="宋体" w:hAnsi="宋体" w:eastAsia="宋体" w:cs="Times New Roman"/>
                <w:color w:val="000000"/>
                <w:kern w:val="0"/>
                <w:sz w:val="24"/>
                <w:highlight w:val="none"/>
              </w:rPr>
            </w:pPr>
            <w:r>
              <w:rPr>
                <w:rFonts w:hint="eastAsia" w:ascii="宋体" w:hAnsi="宋体" w:eastAsia="宋体" w:cs="宋体"/>
                <w:color w:val="000000"/>
                <w:kern w:val="0"/>
                <w:sz w:val="24"/>
                <w:highlight w:val="none"/>
              </w:rPr>
              <w:t xml:space="preserve">                       </w:t>
            </w:r>
            <w:r>
              <w:rPr>
                <w:rFonts w:hint="eastAsia" w:ascii="黑体" w:hAnsi="黑体" w:eastAsia="黑体" w:cs="Times New Roman"/>
                <w:b/>
                <w:color w:val="000000"/>
                <w:kern w:val="0"/>
                <w:sz w:val="32"/>
                <w:szCs w:val="32"/>
                <w:highlight w:val="none"/>
              </w:rPr>
              <w:t>开标一览表</w:t>
            </w:r>
          </w:p>
        </w:tc>
      </w:tr>
      <w:tr w14:paraId="41409B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1540" w:type="dxa"/>
            <w:vAlign w:val="center"/>
          </w:tcPr>
          <w:p w14:paraId="6D9D30B1">
            <w:pPr>
              <w:spacing w:line="500" w:lineRule="exact"/>
              <w:jc w:val="left"/>
              <w:rPr>
                <w:rFonts w:ascii="宋体" w:hAnsi="宋体" w:eastAsia="宋体" w:cs="Times New Roman"/>
                <w:color w:val="000000"/>
                <w:sz w:val="24"/>
                <w:szCs w:val="21"/>
                <w:highlight w:val="none"/>
              </w:rPr>
            </w:pPr>
            <w:r>
              <w:rPr>
                <w:rFonts w:hint="eastAsia" w:ascii="宋体" w:hAnsi="宋体" w:eastAsia="宋体" w:cs="Times New Roman"/>
                <w:color w:val="000000"/>
                <w:sz w:val="24"/>
                <w:highlight w:val="none"/>
              </w:rPr>
              <w:t xml:space="preserve">投标总报价  </w:t>
            </w:r>
          </w:p>
        </w:tc>
        <w:tc>
          <w:tcPr>
            <w:tcW w:w="6666" w:type="dxa"/>
            <w:vAlign w:val="center"/>
          </w:tcPr>
          <w:p w14:paraId="4261E951">
            <w:pPr>
              <w:spacing w:line="500" w:lineRule="exact"/>
              <w:jc w:val="left"/>
              <w:rPr>
                <w:rFonts w:ascii="宋体" w:hAnsi="宋体" w:eastAsia="宋体" w:cs="Times New Roman"/>
                <w:color w:val="000000"/>
                <w:sz w:val="24"/>
                <w:highlight w:val="none"/>
              </w:rPr>
            </w:pPr>
            <w:r>
              <w:rPr>
                <w:rFonts w:hint="eastAsia" w:ascii="宋体" w:hAnsi="宋体" w:eastAsia="宋体" w:cs="宋体"/>
                <w:color w:val="000000"/>
                <w:sz w:val="24"/>
                <w:highlight w:val="none"/>
              </w:rPr>
              <w:t>人民币大写：                          （小写：    元）</w:t>
            </w:r>
          </w:p>
        </w:tc>
      </w:tr>
      <w:tr w14:paraId="59D4B4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1540" w:type="dxa"/>
            <w:vAlign w:val="center"/>
          </w:tcPr>
          <w:p w14:paraId="66956845">
            <w:pPr>
              <w:widowControl/>
              <w:spacing w:line="440" w:lineRule="exac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项目负责人</w:t>
            </w:r>
          </w:p>
        </w:tc>
        <w:tc>
          <w:tcPr>
            <w:tcW w:w="6666" w:type="dxa"/>
            <w:vAlign w:val="center"/>
          </w:tcPr>
          <w:p w14:paraId="0CCE1A54">
            <w:pPr>
              <w:widowControl/>
              <w:spacing w:line="440" w:lineRule="exact"/>
              <w:rPr>
                <w:rFonts w:ascii="宋体" w:hAnsi="宋体" w:eastAsia="宋体" w:cs="宋体"/>
                <w:color w:val="000000"/>
                <w:kern w:val="0"/>
                <w:szCs w:val="21"/>
                <w:highlight w:val="none"/>
              </w:rPr>
            </w:pPr>
          </w:p>
        </w:tc>
      </w:tr>
      <w:tr w14:paraId="50D912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1540" w:type="dxa"/>
            <w:vAlign w:val="center"/>
          </w:tcPr>
          <w:p w14:paraId="5014BE44">
            <w:pPr>
              <w:widowControl/>
              <w:spacing w:line="440" w:lineRule="exac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服务期</w:t>
            </w:r>
          </w:p>
        </w:tc>
        <w:tc>
          <w:tcPr>
            <w:tcW w:w="6666" w:type="dxa"/>
            <w:vAlign w:val="center"/>
          </w:tcPr>
          <w:p w14:paraId="46D41291">
            <w:pPr>
              <w:widowControl/>
              <w:spacing w:line="440" w:lineRule="exact"/>
              <w:rPr>
                <w:rFonts w:ascii="宋体" w:hAnsi="宋体" w:eastAsia="宋体" w:cs="宋体"/>
                <w:color w:val="000000"/>
                <w:kern w:val="0"/>
                <w:szCs w:val="21"/>
                <w:highlight w:val="none"/>
              </w:rPr>
            </w:pPr>
          </w:p>
        </w:tc>
      </w:tr>
      <w:tr w14:paraId="64DB9B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8206" w:type="dxa"/>
            <w:gridSpan w:val="2"/>
            <w:vAlign w:val="center"/>
          </w:tcPr>
          <w:p w14:paraId="32AE540F">
            <w:pPr>
              <w:widowControl/>
              <w:spacing w:line="440" w:lineRule="exact"/>
              <w:jc w:val="center"/>
              <w:rPr>
                <w:rFonts w:ascii="宋体" w:hAnsi="宋体" w:eastAsia="宋体" w:cs="宋体"/>
                <w:color w:val="000000"/>
                <w:kern w:val="0"/>
                <w:szCs w:val="21"/>
                <w:highlight w:val="none"/>
              </w:rPr>
            </w:pPr>
          </w:p>
        </w:tc>
      </w:tr>
    </w:tbl>
    <w:p w14:paraId="57F47424">
      <w:pPr>
        <w:rPr>
          <w:rFonts w:ascii="宋体" w:hAnsi="宋体" w:eastAsia="宋体" w:cs="Times New Roman"/>
          <w:color w:val="000000"/>
          <w:kern w:val="0"/>
          <w:sz w:val="24"/>
          <w:highlight w:val="none"/>
        </w:rPr>
      </w:pPr>
    </w:p>
    <w:p w14:paraId="58186829">
      <w:pPr>
        <w:ind w:firstLine="480"/>
        <w:rPr>
          <w:rFonts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 xml:space="preserve">                                              日期：  </w:t>
      </w:r>
      <w:r>
        <w:rPr>
          <w:rFonts w:hint="eastAsia" w:ascii="宋体" w:hAnsi="宋体" w:eastAsia="宋体" w:cs="Times New Roman"/>
          <w:color w:val="000000"/>
          <w:kern w:val="0"/>
          <w:sz w:val="24"/>
          <w:highlight w:val="none"/>
          <w:u w:val="single"/>
        </w:rPr>
        <w:t xml:space="preserve">     </w:t>
      </w:r>
      <w:r>
        <w:rPr>
          <w:rFonts w:hint="eastAsia" w:ascii="宋体" w:hAnsi="宋体" w:eastAsia="宋体" w:cs="Times New Roman"/>
          <w:color w:val="000000"/>
          <w:kern w:val="0"/>
          <w:sz w:val="24"/>
          <w:highlight w:val="none"/>
        </w:rPr>
        <w:t>年</w:t>
      </w:r>
      <w:r>
        <w:rPr>
          <w:rFonts w:hint="eastAsia" w:ascii="宋体" w:hAnsi="宋体" w:eastAsia="宋体" w:cs="Times New Roman"/>
          <w:color w:val="000000"/>
          <w:kern w:val="0"/>
          <w:sz w:val="24"/>
          <w:highlight w:val="none"/>
          <w:u w:val="single"/>
        </w:rPr>
        <w:t xml:space="preserve">   </w:t>
      </w:r>
      <w:r>
        <w:rPr>
          <w:rFonts w:hint="eastAsia" w:ascii="宋体" w:hAnsi="宋体" w:eastAsia="宋体" w:cs="Times New Roman"/>
          <w:color w:val="000000"/>
          <w:kern w:val="0"/>
          <w:sz w:val="24"/>
          <w:highlight w:val="none"/>
        </w:rPr>
        <w:t>月</w:t>
      </w:r>
      <w:r>
        <w:rPr>
          <w:rFonts w:hint="eastAsia" w:ascii="宋体" w:hAnsi="宋体" w:eastAsia="宋体" w:cs="Times New Roman"/>
          <w:color w:val="000000"/>
          <w:kern w:val="0"/>
          <w:sz w:val="24"/>
          <w:highlight w:val="none"/>
          <w:u w:val="single"/>
        </w:rPr>
        <w:t xml:space="preserve">   </w:t>
      </w:r>
      <w:r>
        <w:rPr>
          <w:rFonts w:hint="eastAsia" w:ascii="宋体" w:hAnsi="宋体" w:eastAsia="宋体" w:cs="Times New Roman"/>
          <w:color w:val="000000"/>
          <w:kern w:val="0"/>
          <w:sz w:val="24"/>
          <w:highlight w:val="none"/>
        </w:rPr>
        <w:t>日</w:t>
      </w:r>
    </w:p>
    <w:p w14:paraId="3B60D9FE">
      <w:pPr>
        <w:ind w:firstLine="480"/>
        <w:rPr>
          <w:rFonts w:ascii="宋体" w:hAnsi="宋体" w:eastAsia="宋体" w:cs="Times New Roman"/>
          <w:color w:val="000000"/>
          <w:kern w:val="0"/>
          <w:sz w:val="24"/>
          <w:highlight w:val="none"/>
        </w:rPr>
      </w:pPr>
    </w:p>
    <w:p w14:paraId="0D97AABC">
      <w:pPr>
        <w:ind w:firstLine="480"/>
        <w:rPr>
          <w:rFonts w:ascii="宋体" w:hAnsi="宋体" w:eastAsia="宋体" w:cs="Times New Roman"/>
          <w:color w:val="000000"/>
          <w:kern w:val="0"/>
          <w:sz w:val="24"/>
          <w:highlight w:val="none"/>
        </w:rPr>
      </w:pPr>
    </w:p>
    <w:p w14:paraId="0E7DB063">
      <w:pPr>
        <w:ind w:firstLine="480"/>
        <w:rPr>
          <w:rFonts w:ascii="宋体" w:hAnsi="宋体" w:eastAsia="宋体" w:cs="Times New Roman"/>
          <w:color w:val="000000"/>
          <w:kern w:val="0"/>
          <w:sz w:val="24"/>
          <w:highlight w:val="none"/>
        </w:rPr>
      </w:pPr>
    </w:p>
    <w:p w14:paraId="06E48163">
      <w:pPr>
        <w:jc w:val="center"/>
        <w:rPr>
          <w:rFonts w:ascii="宋体" w:hAnsi="宋体" w:eastAsia="宋体" w:cs="仿宋"/>
          <w:b/>
          <w:bCs/>
          <w:color w:val="000000"/>
          <w:kern w:val="0"/>
          <w:sz w:val="32"/>
          <w:szCs w:val="32"/>
          <w:highlight w:val="none"/>
        </w:rPr>
      </w:pPr>
      <w:r>
        <w:rPr>
          <w:rFonts w:hint="eastAsia" w:ascii="宋体" w:hAnsi="宋体" w:eastAsia="宋体" w:cs="仿宋"/>
          <w:b/>
          <w:bCs/>
          <w:color w:val="000000"/>
          <w:kern w:val="0"/>
          <w:sz w:val="32"/>
          <w:szCs w:val="32"/>
          <w:highlight w:val="none"/>
        </w:rPr>
        <w:br w:type="page" w:clear="all"/>
      </w:r>
      <w:r>
        <w:rPr>
          <w:rFonts w:hint="eastAsia" w:ascii="宋体" w:hAnsi="宋体" w:eastAsia="宋体" w:cs="仿宋"/>
          <w:b/>
          <w:bCs/>
          <w:color w:val="000000"/>
          <w:kern w:val="0"/>
          <w:sz w:val="32"/>
          <w:szCs w:val="32"/>
          <w:highlight w:val="none"/>
        </w:rPr>
        <w:t>质疑函范本</w:t>
      </w:r>
    </w:p>
    <w:p w14:paraId="07446805">
      <w:pPr>
        <w:spacing w:before="290" w:line="360" w:lineRule="auto"/>
        <w:rPr>
          <w:rFonts w:ascii="宋体" w:hAnsi="宋体" w:eastAsia="宋体" w:cs="仿宋"/>
          <w:bCs/>
          <w:color w:val="000000"/>
          <w:kern w:val="0"/>
          <w:sz w:val="24"/>
          <w:highlight w:val="none"/>
        </w:rPr>
      </w:pPr>
      <w:r>
        <w:rPr>
          <w:rFonts w:hint="eastAsia" w:ascii="宋体" w:hAnsi="宋体" w:eastAsia="宋体" w:cs="仿宋"/>
          <w:bCs/>
          <w:color w:val="000000"/>
          <w:kern w:val="0"/>
          <w:sz w:val="24"/>
          <w:highlight w:val="none"/>
        </w:rPr>
        <w:t>一、质疑供应商基本信息</w:t>
      </w:r>
    </w:p>
    <w:p w14:paraId="66572C01">
      <w:pPr>
        <w:spacing w:line="360" w:lineRule="auto"/>
        <w:rPr>
          <w:rFonts w:ascii="宋体" w:hAnsi="宋体" w:eastAsia="宋体" w:cs="仿宋"/>
          <w:color w:val="000000"/>
          <w:kern w:val="0"/>
          <w:sz w:val="24"/>
          <w:highlight w:val="none"/>
          <w:u w:val="single"/>
        </w:rPr>
      </w:pPr>
      <w:r>
        <w:rPr>
          <w:rFonts w:hint="eastAsia" w:ascii="宋体" w:hAnsi="宋体" w:eastAsia="宋体" w:cs="仿宋"/>
          <w:color w:val="000000"/>
          <w:kern w:val="0"/>
          <w:sz w:val="24"/>
          <w:highlight w:val="none"/>
        </w:rPr>
        <w:t>质疑供应商：</w:t>
      </w:r>
      <w:r>
        <w:rPr>
          <w:rFonts w:hint="eastAsia" w:ascii="宋体" w:hAnsi="宋体" w:eastAsia="宋体" w:cs="仿宋"/>
          <w:color w:val="000000"/>
          <w:kern w:val="0"/>
          <w:sz w:val="24"/>
          <w:highlight w:val="none"/>
          <w:u w:val="single"/>
        </w:rPr>
        <w:t xml:space="preserve">                                                              </w:t>
      </w:r>
    </w:p>
    <w:p w14:paraId="3940184D">
      <w:pPr>
        <w:spacing w:line="360" w:lineRule="auto"/>
        <w:rPr>
          <w:rFonts w:ascii="宋体" w:hAnsi="宋体" w:eastAsia="宋体" w:cs="仿宋"/>
          <w:color w:val="000000"/>
          <w:kern w:val="0"/>
          <w:sz w:val="24"/>
          <w:highlight w:val="none"/>
        </w:rPr>
      </w:pPr>
      <w:r>
        <w:rPr>
          <w:rFonts w:hint="eastAsia" w:ascii="宋体" w:hAnsi="宋体" w:eastAsia="宋体" w:cs="仿宋"/>
          <w:color w:val="000000"/>
          <w:kern w:val="0"/>
          <w:sz w:val="24"/>
          <w:highlight w:val="none"/>
        </w:rPr>
        <w:t>地址：</w:t>
      </w:r>
      <w:r>
        <w:rPr>
          <w:rFonts w:hint="eastAsia" w:ascii="宋体" w:hAnsi="宋体" w:eastAsia="宋体" w:cs="仿宋"/>
          <w:color w:val="000000"/>
          <w:kern w:val="0"/>
          <w:sz w:val="24"/>
          <w:highlight w:val="none"/>
          <w:u w:val="single"/>
        </w:rPr>
        <w:t xml:space="preserve">                             </w:t>
      </w:r>
      <w:r>
        <w:rPr>
          <w:rFonts w:hint="eastAsia" w:ascii="宋体" w:hAnsi="宋体" w:eastAsia="宋体" w:cs="仿宋"/>
          <w:color w:val="000000"/>
          <w:kern w:val="0"/>
          <w:sz w:val="24"/>
          <w:highlight w:val="none"/>
        </w:rPr>
        <w:t>邮编：</w:t>
      </w:r>
      <w:r>
        <w:rPr>
          <w:rFonts w:hint="eastAsia" w:ascii="宋体" w:hAnsi="宋体" w:eastAsia="宋体" w:cs="仿宋"/>
          <w:color w:val="000000"/>
          <w:kern w:val="0"/>
          <w:sz w:val="24"/>
          <w:highlight w:val="none"/>
          <w:u w:val="single"/>
        </w:rPr>
        <w:t xml:space="preserve">                                    </w:t>
      </w:r>
    </w:p>
    <w:p w14:paraId="6AF11810">
      <w:pPr>
        <w:spacing w:line="360" w:lineRule="auto"/>
        <w:rPr>
          <w:rFonts w:ascii="宋体" w:hAnsi="宋体" w:eastAsia="宋体" w:cs="仿宋"/>
          <w:color w:val="000000"/>
          <w:kern w:val="0"/>
          <w:sz w:val="24"/>
          <w:highlight w:val="none"/>
        </w:rPr>
      </w:pPr>
      <w:r>
        <w:rPr>
          <w:rFonts w:hint="eastAsia" w:ascii="宋体" w:hAnsi="宋体" w:eastAsia="宋体" w:cs="仿宋"/>
          <w:color w:val="000000"/>
          <w:kern w:val="0"/>
          <w:sz w:val="24"/>
          <w:highlight w:val="none"/>
        </w:rPr>
        <w:t>联系人：</w:t>
      </w:r>
      <w:r>
        <w:rPr>
          <w:rFonts w:hint="eastAsia" w:ascii="宋体" w:hAnsi="宋体" w:eastAsia="宋体" w:cs="仿宋"/>
          <w:color w:val="000000"/>
          <w:kern w:val="0"/>
          <w:sz w:val="24"/>
          <w:highlight w:val="none"/>
          <w:u w:val="single"/>
        </w:rPr>
        <w:t xml:space="preserve">                      </w:t>
      </w:r>
      <w:r>
        <w:rPr>
          <w:rFonts w:hint="eastAsia" w:ascii="宋体" w:hAnsi="宋体" w:eastAsia="宋体" w:cs="仿宋"/>
          <w:color w:val="000000"/>
          <w:kern w:val="0"/>
          <w:sz w:val="24"/>
          <w:highlight w:val="none"/>
        </w:rPr>
        <w:t>联系电话：</w:t>
      </w:r>
      <w:r>
        <w:rPr>
          <w:rFonts w:hint="eastAsia" w:ascii="宋体" w:hAnsi="宋体" w:eastAsia="宋体" w:cs="仿宋"/>
          <w:color w:val="000000"/>
          <w:kern w:val="0"/>
          <w:sz w:val="24"/>
          <w:highlight w:val="none"/>
          <w:u w:val="single"/>
        </w:rPr>
        <w:t xml:space="preserve">                                       </w:t>
      </w:r>
    </w:p>
    <w:p w14:paraId="3E3512B3">
      <w:pPr>
        <w:spacing w:line="360" w:lineRule="auto"/>
        <w:rPr>
          <w:rFonts w:ascii="宋体" w:hAnsi="宋体" w:eastAsia="宋体" w:cs="仿宋"/>
          <w:color w:val="000000"/>
          <w:kern w:val="0"/>
          <w:sz w:val="24"/>
          <w:highlight w:val="none"/>
          <w:u w:val="single"/>
        </w:rPr>
      </w:pPr>
      <w:r>
        <w:rPr>
          <w:rFonts w:hint="eastAsia" w:ascii="宋体" w:hAnsi="宋体" w:eastAsia="宋体" w:cs="仿宋"/>
          <w:color w:val="000000"/>
          <w:kern w:val="0"/>
          <w:sz w:val="24"/>
          <w:highlight w:val="none"/>
        </w:rPr>
        <w:t>授权代表：</w:t>
      </w:r>
      <w:r>
        <w:rPr>
          <w:rFonts w:hint="eastAsia" w:ascii="宋体" w:hAnsi="宋体" w:eastAsia="宋体" w:cs="仿宋"/>
          <w:color w:val="000000"/>
          <w:kern w:val="0"/>
          <w:sz w:val="24"/>
          <w:highlight w:val="none"/>
          <w:u w:val="single"/>
        </w:rPr>
        <w:t xml:space="preserve">                                                                 </w:t>
      </w:r>
    </w:p>
    <w:p w14:paraId="151B44A8">
      <w:pPr>
        <w:spacing w:line="360" w:lineRule="auto"/>
        <w:rPr>
          <w:rFonts w:ascii="宋体" w:hAnsi="宋体" w:eastAsia="宋体" w:cs="仿宋"/>
          <w:color w:val="000000"/>
          <w:kern w:val="0"/>
          <w:sz w:val="24"/>
          <w:highlight w:val="none"/>
        </w:rPr>
      </w:pPr>
      <w:r>
        <w:rPr>
          <w:rFonts w:hint="eastAsia" w:ascii="宋体" w:hAnsi="宋体" w:eastAsia="宋体" w:cs="仿宋"/>
          <w:color w:val="000000"/>
          <w:kern w:val="0"/>
          <w:sz w:val="24"/>
          <w:highlight w:val="none"/>
        </w:rPr>
        <w:t>联系电话：</w:t>
      </w:r>
      <w:r>
        <w:rPr>
          <w:rFonts w:hint="eastAsia" w:ascii="宋体" w:hAnsi="宋体" w:eastAsia="宋体" w:cs="仿宋"/>
          <w:color w:val="000000"/>
          <w:kern w:val="0"/>
          <w:sz w:val="24"/>
          <w:highlight w:val="none"/>
          <w:u w:val="single"/>
        </w:rPr>
        <w:t xml:space="preserve">                                                                </w:t>
      </w:r>
    </w:p>
    <w:p w14:paraId="52259C86">
      <w:pPr>
        <w:spacing w:line="360" w:lineRule="auto"/>
        <w:rPr>
          <w:rFonts w:ascii="宋体" w:hAnsi="宋体" w:eastAsia="宋体" w:cs="仿宋"/>
          <w:color w:val="000000"/>
          <w:kern w:val="0"/>
          <w:sz w:val="24"/>
          <w:highlight w:val="none"/>
        </w:rPr>
      </w:pPr>
      <w:r>
        <w:rPr>
          <w:rFonts w:hint="eastAsia" w:ascii="宋体" w:hAnsi="宋体" w:eastAsia="宋体" w:cs="仿宋"/>
          <w:color w:val="000000"/>
          <w:kern w:val="0"/>
          <w:sz w:val="24"/>
          <w:highlight w:val="none"/>
        </w:rPr>
        <w:t>地址：</w:t>
      </w:r>
      <w:r>
        <w:rPr>
          <w:rFonts w:ascii="宋体" w:hAnsi="宋体" w:eastAsia="宋体" w:cs="仿宋"/>
          <w:color w:val="000000"/>
          <w:kern w:val="0"/>
          <w:sz w:val="24"/>
          <w:highlight w:val="none"/>
        </w:rPr>
        <w:t xml:space="preserve"> </w:t>
      </w:r>
      <w:r>
        <w:rPr>
          <w:rFonts w:hint="eastAsia" w:ascii="宋体" w:hAnsi="宋体" w:eastAsia="宋体" w:cs="仿宋"/>
          <w:color w:val="000000"/>
          <w:kern w:val="0"/>
          <w:sz w:val="24"/>
          <w:highlight w:val="none"/>
          <w:u w:val="single"/>
        </w:rPr>
        <w:t xml:space="preserve">                        </w:t>
      </w:r>
      <w:r>
        <w:rPr>
          <w:rFonts w:hint="eastAsia" w:ascii="宋体" w:hAnsi="宋体" w:eastAsia="宋体" w:cs="仿宋"/>
          <w:color w:val="000000"/>
          <w:kern w:val="0"/>
          <w:sz w:val="24"/>
          <w:highlight w:val="none"/>
        </w:rPr>
        <w:t>邮编：</w:t>
      </w:r>
      <w:r>
        <w:rPr>
          <w:rFonts w:hint="eastAsia" w:ascii="宋体" w:hAnsi="宋体" w:eastAsia="宋体" w:cs="仿宋"/>
          <w:color w:val="000000"/>
          <w:kern w:val="0"/>
          <w:sz w:val="24"/>
          <w:highlight w:val="none"/>
          <w:u w:val="single"/>
        </w:rPr>
        <w:t xml:space="preserve">                                     </w:t>
      </w:r>
    </w:p>
    <w:p w14:paraId="07F2A310">
      <w:pPr>
        <w:spacing w:line="360" w:lineRule="auto"/>
        <w:rPr>
          <w:rFonts w:ascii="宋体" w:hAnsi="宋体" w:eastAsia="宋体" w:cs="仿宋"/>
          <w:bCs/>
          <w:color w:val="000000"/>
          <w:kern w:val="0"/>
          <w:sz w:val="24"/>
          <w:highlight w:val="none"/>
        </w:rPr>
      </w:pPr>
      <w:r>
        <w:rPr>
          <w:rFonts w:hint="eastAsia" w:ascii="宋体" w:hAnsi="宋体" w:eastAsia="宋体" w:cs="仿宋"/>
          <w:bCs/>
          <w:color w:val="000000"/>
          <w:kern w:val="0"/>
          <w:sz w:val="24"/>
          <w:highlight w:val="none"/>
        </w:rPr>
        <w:t>二、质疑项目基本情况</w:t>
      </w:r>
    </w:p>
    <w:p w14:paraId="02666340">
      <w:pPr>
        <w:spacing w:line="360" w:lineRule="auto"/>
        <w:rPr>
          <w:rFonts w:ascii="宋体" w:hAnsi="宋体" w:eastAsia="宋体" w:cs="仿宋"/>
          <w:color w:val="000000"/>
          <w:kern w:val="0"/>
          <w:sz w:val="24"/>
          <w:highlight w:val="none"/>
        </w:rPr>
      </w:pPr>
      <w:r>
        <w:rPr>
          <w:rFonts w:hint="eastAsia" w:ascii="宋体" w:hAnsi="宋体" w:eastAsia="宋体" w:cs="仿宋"/>
          <w:color w:val="000000"/>
          <w:kern w:val="0"/>
          <w:sz w:val="24"/>
          <w:highlight w:val="none"/>
        </w:rPr>
        <w:t>质疑项目的名称：</w:t>
      </w:r>
      <w:r>
        <w:rPr>
          <w:rFonts w:hint="eastAsia" w:ascii="宋体" w:hAnsi="宋体" w:eastAsia="宋体" w:cs="仿宋"/>
          <w:color w:val="000000"/>
          <w:kern w:val="0"/>
          <w:sz w:val="24"/>
          <w:highlight w:val="none"/>
          <w:u w:val="single"/>
        </w:rPr>
        <w:t xml:space="preserve">                                                          </w:t>
      </w:r>
    </w:p>
    <w:p w14:paraId="2CFA37D6">
      <w:pPr>
        <w:spacing w:line="360" w:lineRule="auto"/>
        <w:rPr>
          <w:rFonts w:ascii="宋体" w:hAnsi="宋体" w:eastAsia="宋体" w:cs="仿宋"/>
          <w:color w:val="000000"/>
          <w:kern w:val="0"/>
          <w:sz w:val="24"/>
          <w:highlight w:val="none"/>
        </w:rPr>
      </w:pPr>
      <w:r>
        <w:rPr>
          <w:rFonts w:hint="eastAsia" w:ascii="宋体" w:hAnsi="宋体" w:eastAsia="宋体" w:cs="仿宋"/>
          <w:color w:val="000000"/>
          <w:kern w:val="0"/>
          <w:sz w:val="24"/>
          <w:highlight w:val="none"/>
        </w:rPr>
        <w:t>质疑项目的编号：</w:t>
      </w:r>
      <w:r>
        <w:rPr>
          <w:rFonts w:hint="eastAsia" w:ascii="宋体" w:hAnsi="宋体" w:eastAsia="宋体" w:cs="仿宋"/>
          <w:color w:val="000000"/>
          <w:kern w:val="0"/>
          <w:sz w:val="24"/>
          <w:highlight w:val="none"/>
          <w:u w:val="single"/>
        </w:rPr>
        <w:t xml:space="preserve">                         </w:t>
      </w:r>
      <w:r>
        <w:rPr>
          <w:rFonts w:hint="eastAsia" w:ascii="宋体" w:hAnsi="宋体" w:eastAsia="宋体" w:cs="仿宋"/>
          <w:color w:val="000000"/>
          <w:kern w:val="0"/>
          <w:sz w:val="24"/>
          <w:highlight w:val="none"/>
        </w:rPr>
        <w:t>包号：</w:t>
      </w:r>
      <w:r>
        <w:rPr>
          <w:rFonts w:hint="eastAsia" w:ascii="宋体" w:hAnsi="宋体" w:eastAsia="宋体" w:cs="仿宋"/>
          <w:color w:val="000000"/>
          <w:kern w:val="0"/>
          <w:sz w:val="24"/>
          <w:highlight w:val="none"/>
          <w:u w:val="single"/>
        </w:rPr>
        <w:t xml:space="preserve">                           </w:t>
      </w:r>
    </w:p>
    <w:p w14:paraId="163CDF52">
      <w:pPr>
        <w:spacing w:line="360" w:lineRule="auto"/>
        <w:rPr>
          <w:rFonts w:ascii="宋体" w:hAnsi="宋体" w:eastAsia="宋体" w:cs="仿宋"/>
          <w:color w:val="000000"/>
          <w:kern w:val="0"/>
          <w:sz w:val="24"/>
          <w:highlight w:val="none"/>
          <w:u w:val="single"/>
        </w:rPr>
      </w:pPr>
      <w:r>
        <w:rPr>
          <w:rFonts w:hint="eastAsia" w:ascii="宋体" w:hAnsi="宋体" w:eastAsia="宋体" w:cs="仿宋"/>
          <w:color w:val="000000"/>
          <w:kern w:val="0"/>
          <w:sz w:val="24"/>
          <w:highlight w:val="none"/>
        </w:rPr>
        <w:t>采购人名称：</w:t>
      </w:r>
      <w:r>
        <w:rPr>
          <w:rFonts w:hint="eastAsia" w:ascii="宋体" w:hAnsi="宋体" w:eastAsia="宋体" w:cs="仿宋"/>
          <w:color w:val="000000"/>
          <w:kern w:val="0"/>
          <w:sz w:val="24"/>
          <w:highlight w:val="none"/>
          <w:u w:val="single"/>
        </w:rPr>
        <w:t xml:space="preserve">                                                              </w:t>
      </w:r>
    </w:p>
    <w:p w14:paraId="384FF759">
      <w:pPr>
        <w:spacing w:line="360" w:lineRule="auto"/>
        <w:rPr>
          <w:rFonts w:ascii="宋体" w:hAnsi="宋体" w:eastAsia="宋体" w:cs="仿宋"/>
          <w:color w:val="000000"/>
          <w:kern w:val="0"/>
          <w:sz w:val="24"/>
          <w:highlight w:val="none"/>
        </w:rPr>
      </w:pPr>
      <w:r>
        <w:rPr>
          <w:rFonts w:hint="eastAsia" w:ascii="宋体" w:hAnsi="宋体" w:eastAsia="宋体" w:cs="仿宋"/>
          <w:color w:val="000000"/>
          <w:kern w:val="0"/>
          <w:sz w:val="24"/>
          <w:highlight w:val="none"/>
        </w:rPr>
        <w:t>采购文件获取日期：</w:t>
      </w:r>
      <w:r>
        <w:rPr>
          <w:rFonts w:hint="eastAsia" w:ascii="宋体" w:hAnsi="宋体" w:eastAsia="宋体" w:cs="仿宋"/>
          <w:color w:val="000000"/>
          <w:kern w:val="0"/>
          <w:sz w:val="24"/>
          <w:highlight w:val="none"/>
          <w:u w:val="single"/>
        </w:rPr>
        <w:t xml:space="preserve">                                                        </w:t>
      </w:r>
    </w:p>
    <w:p w14:paraId="6ED0F1C3">
      <w:pPr>
        <w:spacing w:line="360" w:lineRule="auto"/>
        <w:rPr>
          <w:rFonts w:ascii="宋体" w:hAnsi="宋体" w:eastAsia="宋体" w:cs="仿宋"/>
          <w:bCs/>
          <w:color w:val="000000"/>
          <w:kern w:val="0"/>
          <w:sz w:val="24"/>
          <w:highlight w:val="none"/>
        </w:rPr>
      </w:pPr>
      <w:r>
        <w:rPr>
          <w:rFonts w:hint="eastAsia" w:ascii="宋体" w:hAnsi="宋体" w:eastAsia="宋体" w:cs="仿宋"/>
          <w:bCs/>
          <w:color w:val="000000"/>
          <w:kern w:val="0"/>
          <w:sz w:val="24"/>
          <w:highlight w:val="none"/>
        </w:rPr>
        <w:t>三、质疑事项具体内容</w:t>
      </w:r>
    </w:p>
    <w:p w14:paraId="60D7BD46">
      <w:pPr>
        <w:spacing w:line="360" w:lineRule="auto"/>
        <w:rPr>
          <w:rFonts w:ascii="宋体" w:hAnsi="宋体" w:eastAsia="宋体" w:cs="仿宋"/>
          <w:color w:val="000000"/>
          <w:kern w:val="0"/>
          <w:sz w:val="24"/>
          <w:highlight w:val="none"/>
          <w:u w:val="single"/>
        </w:rPr>
      </w:pPr>
      <w:r>
        <w:rPr>
          <w:rFonts w:hint="eastAsia" w:ascii="宋体" w:hAnsi="宋体" w:eastAsia="宋体" w:cs="仿宋"/>
          <w:color w:val="000000"/>
          <w:kern w:val="0"/>
          <w:sz w:val="24"/>
          <w:highlight w:val="none"/>
        </w:rPr>
        <w:t>质疑事项1：</w:t>
      </w:r>
      <w:r>
        <w:rPr>
          <w:rFonts w:hint="eastAsia" w:ascii="宋体" w:hAnsi="宋体" w:eastAsia="宋体" w:cs="仿宋"/>
          <w:color w:val="000000"/>
          <w:kern w:val="0"/>
          <w:sz w:val="24"/>
          <w:highlight w:val="none"/>
          <w:u w:val="single"/>
        </w:rPr>
        <w:t xml:space="preserve">                                                              </w:t>
      </w:r>
    </w:p>
    <w:p w14:paraId="4F8514F3">
      <w:pPr>
        <w:spacing w:line="360" w:lineRule="auto"/>
        <w:rPr>
          <w:rFonts w:ascii="宋体" w:hAnsi="宋体" w:eastAsia="宋体" w:cs="仿宋"/>
          <w:color w:val="000000"/>
          <w:kern w:val="0"/>
          <w:sz w:val="24"/>
          <w:highlight w:val="none"/>
          <w:u w:val="single"/>
        </w:rPr>
      </w:pPr>
      <w:r>
        <w:rPr>
          <w:rFonts w:hint="eastAsia" w:ascii="宋体" w:hAnsi="宋体" w:eastAsia="宋体" w:cs="仿宋"/>
          <w:color w:val="000000"/>
          <w:kern w:val="0"/>
          <w:sz w:val="24"/>
          <w:highlight w:val="none"/>
        </w:rPr>
        <w:t>事实依据：</w:t>
      </w:r>
      <w:r>
        <w:rPr>
          <w:rFonts w:hint="eastAsia" w:ascii="宋体" w:hAnsi="宋体" w:eastAsia="宋体" w:cs="仿宋"/>
          <w:color w:val="000000"/>
          <w:kern w:val="0"/>
          <w:sz w:val="24"/>
          <w:highlight w:val="none"/>
          <w:u w:val="single"/>
        </w:rPr>
        <w:t xml:space="preserve">                                                                </w:t>
      </w:r>
    </w:p>
    <w:p w14:paraId="3F81850B">
      <w:pPr>
        <w:spacing w:line="360" w:lineRule="auto"/>
        <w:rPr>
          <w:rFonts w:ascii="宋体" w:hAnsi="宋体" w:eastAsia="宋体" w:cs="仿宋"/>
          <w:color w:val="000000"/>
          <w:kern w:val="0"/>
          <w:sz w:val="24"/>
          <w:highlight w:val="none"/>
        </w:rPr>
      </w:pPr>
      <w:r>
        <w:rPr>
          <w:rFonts w:hint="eastAsia" w:ascii="宋体" w:hAnsi="宋体" w:eastAsia="宋体" w:cs="仿宋"/>
          <w:color w:val="000000"/>
          <w:kern w:val="0"/>
          <w:sz w:val="24"/>
          <w:highlight w:val="none"/>
          <w:u w:val="single"/>
        </w:rPr>
        <w:t xml:space="preserve">                                                                           </w:t>
      </w:r>
    </w:p>
    <w:p w14:paraId="66D9DDDF">
      <w:pPr>
        <w:spacing w:line="360" w:lineRule="auto"/>
        <w:rPr>
          <w:rFonts w:ascii="宋体" w:hAnsi="宋体" w:eastAsia="宋体" w:cs="仿宋"/>
          <w:color w:val="000000"/>
          <w:kern w:val="0"/>
          <w:sz w:val="24"/>
          <w:highlight w:val="none"/>
          <w:u w:val="single"/>
        </w:rPr>
      </w:pPr>
      <w:r>
        <w:rPr>
          <w:rFonts w:hint="eastAsia" w:ascii="宋体" w:hAnsi="宋体" w:eastAsia="宋体" w:cs="仿宋"/>
          <w:color w:val="000000"/>
          <w:kern w:val="0"/>
          <w:sz w:val="24"/>
          <w:highlight w:val="none"/>
        </w:rPr>
        <w:t>法律依据：</w:t>
      </w:r>
      <w:r>
        <w:rPr>
          <w:rFonts w:hint="eastAsia" w:ascii="宋体" w:hAnsi="宋体" w:eastAsia="宋体" w:cs="仿宋"/>
          <w:color w:val="000000"/>
          <w:kern w:val="0"/>
          <w:sz w:val="24"/>
          <w:highlight w:val="none"/>
          <w:u w:val="single"/>
        </w:rPr>
        <w:t xml:space="preserve">                                                                 </w:t>
      </w:r>
    </w:p>
    <w:p w14:paraId="4F219CE9">
      <w:pPr>
        <w:spacing w:line="360" w:lineRule="auto"/>
        <w:rPr>
          <w:rFonts w:ascii="宋体" w:hAnsi="宋体" w:eastAsia="宋体" w:cs="仿宋"/>
          <w:color w:val="000000"/>
          <w:kern w:val="0"/>
          <w:sz w:val="24"/>
          <w:highlight w:val="none"/>
          <w:u w:val="single"/>
        </w:rPr>
      </w:pPr>
      <w:r>
        <w:rPr>
          <w:rFonts w:hint="eastAsia" w:ascii="宋体" w:hAnsi="宋体" w:eastAsia="宋体" w:cs="仿宋"/>
          <w:color w:val="000000"/>
          <w:kern w:val="0"/>
          <w:sz w:val="24"/>
          <w:highlight w:val="none"/>
          <w:u w:val="single"/>
        </w:rPr>
        <w:t xml:space="preserve">                                                                           </w:t>
      </w:r>
    </w:p>
    <w:p w14:paraId="578D7BDF">
      <w:pPr>
        <w:spacing w:line="360" w:lineRule="auto"/>
        <w:rPr>
          <w:rFonts w:ascii="宋体" w:hAnsi="宋体" w:eastAsia="宋体" w:cs="仿宋"/>
          <w:color w:val="000000"/>
          <w:kern w:val="0"/>
          <w:sz w:val="24"/>
          <w:highlight w:val="none"/>
          <w:u w:val="single"/>
        </w:rPr>
      </w:pPr>
      <w:r>
        <w:rPr>
          <w:rFonts w:hint="eastAsia" w:ascii="宋体" w:hAnsi="宋体" w:eastAsia="宋体" w:cs="仿宋"/>
          <w:color w:val="000000"/>
          <w:kern w:val="0"/>
          <w:sz w:val="24"/>
          <w:highlight w:val="none"/>
        </w:rPr>
        <w:t>质疑事项2</w:t>
      </w:r>
    </w:p>
    <w:p w14:paraId="69D6030F">
      <w:pPr>
        <w:spacing w:line="360" w:lineRule="auto"/>
        <w:rPr>
          <w:rFonts w:ascii="宋体" w:hAnsi="宋体" w:eastAsia="宋体" w:cs="仿宋"/>
          <w:color w:val="000000"/>
          <w:kern w:val="0"/>
          <w:sz w:val="24"/>
          <w:highlight w:val="none"/>
        </w:rPr>
      </w:pPr>
      <w:r>
        <w:rPr>
          <w:rFonts w:hint="eastAsia" w:ascii="宋体" w:hAnsi="宋体" w:eastAsia="宋体" w:cs="仿宋"/>
          <w:color w:val="000000"/>
          <w:kern w:val="0"/>
          <w:sz w:val="24"/>
          <w:highlight w:val="none"/>
        </w:rPr>
        <w:t>……</w:t>
      </w:r>
    </w:p>
    <w:p w14:paraId="5240499D">
      <w:pPr>
        <w:spacing w:line="360" w:lineRule="auto"/>
        <w:rPr>
          <w:rFonts w:ascii="宋体" w:hAnsi="宋体" w:eastAsia="宋体" w:cs="仿宋"/>
          <w:bCs/>
          <w:color w:val="000000"/>
          <w:kern w:val="0"/>
          <w:sz w:val="24"/>
          <w:highlight w:val="none"/>
        </w:rPr>
      </w:pPr>
      <w:r>
        <w:rPr>
          <w:rFonts w:hint="eastAsia" w:ascii="宋体" w:hAnsi="宋体" w:eastAsia="宋体" w:cs="仿宋"/>
          <w:bCs/>
          <w:color w:val="000000"/>
          <w:kern w:val="0"/>
          <w:sz w:val="24"/>
          <w:highlight w:val="none"/>
        </w:rPr>
        <w:t>四、与质疑事项相关的质疑请求</w:t>
      </w:r>
    </w:p>
    <w:p w14:paraId="0754ECD9">
      <w:pPr>
        <w:spacing w:line="360" w:lineRule="auto"/>
        <w:rPr>
          <w:rFonts w:ascii="宋体" w:hAnsi="宋体" w:eastAsia="宋体" w:cs="仿宋"/>
          <w:color w:val="000000"/>
          <w:kern w:val="0"/>
          <w:sz w:val="24"/>
          <w:highlight w:val="none"/>
          <w:u w:val="single"/>
        </w:rPr>
      </w:pPr>
      <w:r>
        <w:rPr>
          <w:rFonts w:hint="eastAsia" w:ascii="宋体" w:hAnsi="宋体" w:eastAsia="宋体" w:cs="仿宋"/>
          <w:color w:val="000000"/>
          <w:kern w:val="0"/>
          <w:sz w:val="24"/>
          <w:highlight w:val="none"/>
        </w:rPr>
        <w:t>请求：</w:t>
      </w:r>
      <w:r>
        <w:rPr>
          <w:rFonts w:hint="eastAsia" w:ascii="宋体" w:hAnsi="宋体" w:eastAsia="宋体" w:cs="仿宋"/>
          <w:color w:val="000000"/>
          <w:kern w:val="0"/>
          <w:sz w:val="24"/>
          <w:highlight w:val="none"/>
          <w:u w:val="single"/>
        </w:rPr>
        <w:t xml:space="preserve">                                                                     </w:t>
      </w:r>
    </w:p>
    <w:p w14:paraId="600EE805">
      <w:pPr>
        <w:rPr>
          <w:rFonts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 xml:space="preserve">签字(签章)：                   公章：                      </w:t>
      </w:r>
    </w:p>
    <w:p w14:paraId="36E7E195">
      <w:pPr>
        <w:rPr>
          <w:rFonts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 xml:space="preserve">日期：    </w:t>
      </w:r>
    </w:p>
    <w:p w14:paraId="78C5DBD4">
      <w:pPr>
        <w:spacing w:line="400" w:lineRule="exact"/>
        <w:rPr>
          <w:rFonts w:ascii="宋体" w:hAnsi="宋体" w:eastAsia="宋体" w:cs="Times New Roman"/>
          <w:b/>
          <w:color w:val="000000"/>
          <w:kern w:val="0"/>
          <w:sz w:val="24"/>
          <w:highlight w:val="none"/>
        </w:rPr>
      </w:pPr>
      <w:r>
        <w:rPr>
          <w:rFonts w:hint="eastAsia" w:ascii="宋体" w:hAnsi="宋体" w:eastAsia="宋体" w:cs="Times New Roman"/>
          <w:b/>
          <w:color w:val="000000"/>
          <w:kern w:val="0"/>
          <w:sz w:val="24"/>
          <w:highlight w:val="none"/>
        </w:rPr>
        <w:t>质疑函制作说明：</w:t>
      </w:r>
    </w:p>
    <w:p w14:paraId="598F57E3">
      <w:pPr>
        <w:widowControl/>
        <w:spacing w:line="400" w:lineRule="exact"/>
        <w:ind w:firstLine="480"/>
        <w:jc w:val="left"/>
        <w:rPr>
          <w:rFonts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1.供应商提出质疑时，应提交质疑函和必要的证明材料。</w:t>
      </w:r>
    </w:p>
    <w:p w14:paraId="6B2B93AD">
      <w:pPr>
        <w:widowControl/>
        <w:spacing w:line="400" w:lineRule="exact"/>
        <w:ind w:firstLine="480"/>
        <w:jc w:val="left"/>
        <w:rPr>
          <w:rFonts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2.质疑供应商若委托代理人进行质疑的，质疑函应按要求列明“授权代表”的有关内容，并在附件中提交由质疑</w:t>
      </w:r>
      <w:r>
        <w:rPr>
          <w:rFonts w:hint="eastAsia" w:ascii="宋体" w:hAnsi="宋体" w:eastAsia="宋体" w:cs="宋体"/>
          <w:color w:val="000000"/>
          <w:kern w:val="0"/>
          <w:sz w:val="24"/>
          <w:highlight w:val="none"/>
        </w:rPr>
        <w:t>供应商签署的授权委托书。授权委托书应载明代理人的姓名或者名称、代理事项、具体权限、期限和相关事项。</w:t>
      </w:r>
    </w:p>
    <w:p w14:paraId="01CD497D">
      <w:pPr>
        <w:widowControl/>
        <w:spacing w:line="400" w:lineRule="exact"/>
        <w:ind w:firstLine="480"/>
        <w:jc w:val="left"/>
        <w:rPr>
          <w:rFonts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3.质疑供应商若对项目的某一分包进行质疑，质疑函中应列明具体分包号。</w:t>
      </w:r>
    </w:p>
    <w:p w14:paraId="3B88FAC8">
      <w:pPr>
        <w:widowControl/>
        <w:spacing w:line="400" w:lineRule="exact"/>
        <w:ind w:firstLine="480"/>
        <w:jc w:val="left"/>
        <w:rPr>
          <w:rFonts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4.质疑函的质疑事项应具体、明确，并有必要的事实依据和法律依据。</w:t>
      </w:r>
    </w:p>
    <w:p w14:paraId="1109913F">
      <w:pPr>
        <w:widowControl/>
        <w:spacing w:line="400" w:lineRule="exact"/>
        <w:ind w:firstLine="480"/>
        <w:jc w:val="left"/>
        <w:rPr>
          <w:rFonts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5.质疑函的质疑请求应与质疑事项相关。</w:t>
      </w:r>
    </w:p>
    <w:p w14:paraId="3715C60D">
      <w:pPr>
        <w:widowControl/>
        <w:spacing w:line="400" w:lineRule="exact"/>
        <w:ind w:firstLine="480"/>
        <w:jc w:val="left"/>
        <w:rPr>
          <w:rFonts w:ascii="宋体" w:hAnsi="宋体" w:eastAsia="宋体" w:cs="Times New Roman"/>
          <w:color w:val="000000"/>
          <w:kern w:val="0"/>
          <w:sz w:val="24"/>
          <w:highlight w:val="none"/>
        </w:rPr>
      </w:pPr>
      <w:r>
        <w:rPr>
          <w:rFonts w:hint="eastAsia" w:ascii="宋体" w:hAnsi="宋体" w:eastAsia="宋体" w:cs="Times New Roman"/>
          <w:color w:val="000000"/>
          <w:kern w:val="0"/>
          <w:sz w:val="24"/>
          <w:highlight w:val="none"/>
        </w:rPr>
        <w:t>6.质疑供应商为自然人的，质疑函应由本人签字；质疑供应商为法人或者其他组织的，质疑函应由法定代表人、主要负责人，或者其授权代表签字或者盖章，并加盖公章。</w:t>
      </w:r>
    </w:p>
    <w:p w14:paraId="595BA1FC">
      <w:pPr>
        <w:ind w:firstLine="420"/>
        <w:rPr>
          <w:rFonts w:ascii="Times New Roman" w:hAnsi="Times New Roman" w:eastAsia="宋体" w:cs="Times New Roman"/>
          <w:color w:val="000000"/>
          <w:sz w:val="24"/>
          <w:highlight w:val="none"/>
        </w:rPr>
      </w:pPr>
    </w:p>
    <w:p w14:paraId="2B622268">
      <w:pPr>
        <w:ind w:firstLine="420"/>
        <w:rPr>
          <w:rFonts w:ascii="Times New Roman" w:hAnsi="Times New Roman" w:eastAsia="宋体" w:cs="Times New Roman"/>
          <w:color w:val="000000"/>
          <w:sz w:val="24"/>
          <w:highlight w:val="none"/>
        </w:rPr>
      </w:pPr>
    </w:p>
    <w:p w14:paraId="6ECEABCC">
      <w:pPr>
        <w:rPr>
          <w:rFonts w:ascii="Times New Roman" w:hAnsi="Times New Roman" w:eastAsia="宋体" w:cs="Times New Roman"/>
          <w:color w:val="000000"/>
          <w:kern w:val="0"/>
          <w:szCs w:val="21"/>
          <w:highlight w:val="none"/>
        </w:rPr>
      </w:pPr>
    </w:p>
    <w:p w14:paraId="09A19DE9">
      <w:pPr>
        <w:rPr>
          <w:highlight w:val="none"/>
        </w:rPr>
      </w:pPr>
    </w:p>
    <w:sectPr>
      <w:pgSz w:w="11906" w:h="16838"/>
      <w:pgMar w:top="1418" w:right="1588" w:bottom="1418" w:left="1365" w:header="851" w:footer="907" w:gutter="0"/>
      <w:pgNumType w:start="1"/>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altName w:val="微软雅黑"/>
    <w:panose1 w:val="03000509000000000000"/>
    <w:charset w:val="86"/>
    <w:family w:val="script"/>
    <w:pitch w:val="default"/>
    <w:sig w:usb0="00000000" w:usb1="00000000" w:usb2="00000010" w:usb3="00000000" w:csb0="003C0041" w:csb1="00000000"/>
  </w:font>
  <w:font w:name="微软雅黑">
    <w:panose1 w:val="020B0503020204020204"/>
    <w:charset w:val="86"/>
    <w:family w:val="auto"/>
    <w:pitch w:val="default"/>
    <w:sig w:usb0="80000287" w:usb1="2ACF3C50" w:usb2="00000016" w:usb3="00000000" w:csb0="0004001F" w:csb1="00000000"/>
  </w:font>
  <w:font w:name="方正楷体_GBK">
    <w:altName w:val="微软雅黑"/>
    <w:panose1 w:val="03000509000000000000"/>
    <w:charset w:val="86"/>
    <w:family w:val="script"/>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彩虹小标宋">
    <w:altName w:val="微软雅黑"/>
    <w:panose1 w:val="00000000000000000000"/>
    <w:charset w:val="00"/>
    <w:family w:val="auto"/>
    <w:pitch w:val="default"/>
    <w:sig w:usb0="00000000" w:usb1="00000000" w:usb2="00000000" w:usb3="00000000" w:csb0="00000000"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Showcard Gothic">
    <w:altName w:val="Stencil Std"/>
    <w:panose1 w:val="04020904020102020604"/>
    <w:charset w:val="00"/>
    <w:family w:val="decorative"/>
    <w:pitch w:val="default"/>
    <w:sig w:usb0="00000000" w:usb1="00000000" w:usb2="00000000" w:usb3="00000000" w:csb0="00000001" w:csb1="00000000"/>
  </w:font>
  <w:font w:name="Stencil Std">
    <w:panose1 w:val="04020904080802020404"/>
    <w:charset w:val="00"/>
    <w:family w:val="auto"/>
    <w:pitch w:val="default"/>
    <w:sig w:usb0="00000003" w:usb1="00000000" w:usb2="00000000" w:usb3="00000000" w:csb0="20000001"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Segoe UI">
    <w:panose1 w:val="020B0502040204020203"/>
    <w:charset w:val="00"/>
    <w:family w:val="swiss"/>
    <w:pitch w:val="default"/>
    <w:sig w:usb0="E4002EFF" w:usb1="C000E47F" w:usb2="00000009" w:usb3="00000000" w:csb0="200001FF" w:csb1="00000000"/>
  </w:font>
  <w:font w:name="幼圆">
    <w:altName w:val="宋体"/>
    <w:panose1 w:val="02010509060101010101"/>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635EBD">
    <w:pPr>
      <w:tabs>
        <w:tab w:val="center" w:pos="4153"/>
        <w:tab w:val="right" w:pos="8306"/>
      </w:tabs>
      <w:jc w:val="center"/>
      <w:rPr>
        <w:rFonts w:ascii="Times New Roman" w:hAnsi="Times New Roman" w:eastAsia="宋体" w:cs="Times New Roman"/>
        <w:b/>
        <w:i/>
        <w:sz w:val="18"/>
        <w:szCs w:val="18"/>
      </w:rPr>
    </w:pPr>
    <w:r>
      <w:rPr>
        <w:rFonts w:ascii="Times New Roman" w:hAnsi="Times New Roman" w:eastAsia="宋体" w:cs="Times New Roman"/>
        <w:b/>
        <w:i/>
        <w:sz w:val="20"/>
        <w:szCs w:val="18"/>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8B81B1">
    <w:pPr>
      <w:tabs>
        <w:tab w:val="center" w:pos="4153"/>
        <w:tab w:val="right" w:pos="8306"/>
      </w:tabs>
      <w:jc w:val="center"/>
      <w:rPr>
        <w:rFonts w:ascii="Times New Roman" w:hAnsi="Times New Roman" w:eastAsia="宋体" w:cs="Times New Roman"/>
        <w:b/>
        <w:i/>
        <w:sz w:val="18"/>
        <w:szCs w:val="18"/>
      </w:rPr>
    </w:pPr>
    <w:r>
      <w:rPr>
        <w:rFonts w:ascii="Times New Roman" w:hAnsi="Times New Roman" w:eastAsia="宋体" w:cs="Times New Roman"/>
        <w:sz w:val="20"/>
        <w:szCs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20702CFC">
                          <w:pPr>
                            <w:jc w:val="left"/>
                            <w:rPr>
                              <w:rFonts w:ascii="Times New Roman" w:hAnsi="Times New Roman" w:eastAsia="宋体" w:cs="Times New Roman"/>
                              <w:sz w:val="18"/>
                              <w:szCs w:val="18"/>
                            </w:rPr>
                          </w:pPr>
                          <w:r>
                            <w:rPr>
                              <w:rFonts w:ascii="Times New Roman" w:hAnsi="Times New Roman" w:eastAsia="宋体" w:cs="Times New Roman"/>
                              <w:sz w:val="18"/>
                              <w:szCs w:val="18"/>
                            </w:rPr>
                            <w:fldChar w:fldCharType="begin"/>
                          </w:r>
                          <w:r>
                            <w:rPr>
                              <w:rFonts w:ascii="Times New Roman" w:hAnsi="Times New Roman" w:eastAsia="宋体" w:cs="Times New Roman"/>
                              <w:sz w:val="18"/>
                              <w:szCs w:val="18"/>
                            </w:rPr>
                            <w:instrText xml:space="preserve"> PAGE  \* MERGEFORMAT </w:instrText>
                          </w:r>
                          <w:r>
                            <w:rPr>
                              <w:rFonts w:ascii="Times New Roman" w:hAnsi="Times New Roman" w:eastAsia="宋体" w:cs="Times New Roman"/>
                              <w:sz w:val="18"/>
                              <w:szCs w:val="18"/>
                            </w:rPr>
                            <w:fldChar w:fldCharType="separate"/>
                          </w:r>
                          <w:r>
                            <w:rPr>
                              <w:rFonts w:ascii="Times New Roman" w:hAnsi="Times New Roman" w:eastAsia="宋体" w:cs="Times New Roman"/>
                              <w:sz w:val="18"/>
                              <w:szCs w:val="18"/>
                            </w:rPr>
                            <w:t>1</w:t>
                          </w:r>
                          <w:r>
                            <w:rPr>
                              <w:rFonts w:ascii="Times New Roman" w:hAnsi="Times New Roman" w:eastAsia="宋体" w:cs="Times New Roman"/>
                              <w:sz w:val="18"/>
                              <w:szCs w:val="18"/>
                            </w:rPr>
                            <w:fldChar w:fldCharType="end"/>
                          </w:r>
                        </w:p>
                        <w:p w14:paraId="0A7A8CA7">
                          <w:pPr>
                            <w:rPr>
                              <w:rFonts w:ascii="Times New Roman" w:hAnsi="Times New Roman" w:eastAsia="宋体" w:cs="Times New Roman"/>
                              <w:kern w:val="0"/>
                              <w:szCs w:val="21"/>
                            </w:rPr>
                          </w:pP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20702CFC">
                    <w:pPr>
                      <w:jc w:val="left"/>
                      <w:rPr>
                        <w:rFonts w:ascii="Times New Roman" w:hAnsi="Times New Roman" w:eastAsia="宋体" w:cs="Times New Roman"/>
                        <w:sz w:val="18"/>
                        <w:szCs w:val="18"/>
                      </w:rPr>
                    </w:pPr>
                    <w:r>
                      <w:rPr>
                        <w:rFonts w:ascii="Times New Roman" w:hAnsi="Times New Roman" w:eastAsia="宋体" w:cs="Times New Roman"/>
                        <w:sz w:val="18"/>
                        <w:szCs w:val="18"/>
                      </w:rPr>
                      <w:fldChar w:fldCharType="begin"/>
                    </w:r>
                    <w:r>
                      <w:rPr>
                        <w:rFonts w:ascii="Times New Roman" w:hAnsi="Times New Roman" w:eastAsia="宋体" w:cs="Times New Roman"/>
                        <w:sz w:val="18"/>
                        <w:szCs w:val="18"/>
                      </w:rPr>
                      <w:instrText xml:space="preserve"> PAGE  \* MERGEFORMAT </w:instrText>
                    </w:r>
                    <w:r>
                      <w:rPr>
                        <w:rFonts w:ascii="Times New Roman" w:hAnsi="Times New Roman" w:eastAsia="宋体" w:cs="Times New Roman"/>
                        <w:sz w:val="18"/>
                        <w:szCs w:val="18"/>
                      </w:rPr>
                      <w:fldChar w:fldCharType="separate"/>
                    </w:r>
                    <w:r>
                      <w:rPr>
                        <w:rFonts w:ascii="Times New Roman" w:hAnsi="Times New Roman" w:eastAsia="宋体" w:cs="Times New Roman"/>
                        <w:sz w:val="18"/>
                        <w:szCs w:val="18"/>
                      </w:rPr>
                      <w:t>1</w:t>
                    </w:r>
                    <w:r>
                      <w:rPr>
                        <w:rFonts w:ascii="Times New Roman" w:hAnsi="Times New Roman" w:eastAsia="宋体" w:cs="Times New Roman"/>
                        <w:sz w:val="18"/>
                        <w:szCs w:val="18"/>
                      </w:rPr>
                      <w:fldChar w:fldCharType="end"/>
                    </w:r>
                  </w:p>
                  <w:p w14:paraId="0A7A8CA7">
                    <w:pPr>
                      <w:rPr>
                        <w:rFonts w:ascii="Times New Roman" w:hAnsi="Times New Roman" w:eastAsia="宋体" w:cs="Times New Roman"/>
                        <w:kern w:val="0"/>
                        <w:szCs w:val="21"/>
                      </w:rPr>
                    </w:pPr>
                  </w:p>
                </w:txbxContent>
              </v:textbox>
            </v:shape>
          </w:pict>
        </mc:Fallback>
      </mc:AlternateContent>
    </w:r>
    <w:r>
      <w:rPr>
        <w:rFonts w:ascii="Times New Roman" w:hAnsi="Times New Roman" w:eastAsia="宋体" w:cs="Times New Roman"/>
        <w:b/>
        <w:i/>
        <w:sz w:val="20"/>
        <w:szCs w:val="18"/>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7EE791">
    <w:pPr>
      <w:tabs>
        <w:tab w:val="center" w:pos="4153"/>
        <w:tab w:val="right" w:pos="8306"/>
      </w:tabs>
      <w:jc w:val="left"/>
      <w:rPr>
        <w:rFonts w:ascii="Times New Roman" w:hAnsi="Times New Roman" w:eastAsia="宋体" w:cs="Times New Roman"/>
        <w:sz w:val="18"/>
        <w:szCs w:val="18"/>
      </w:rPr>
    </w:pPr>
    <w:r>
      <w:rPr>
        <w:rFonts w:ascii="Times New Roman" w:hAnsi="Times New Roman" w:eastAsia="宋体" w:cs="Times New Roman"/>
        <w:sz w:val="18"/>
        <w:szCs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171C8283">
                          <w:pPr>
                            <w:jc w:val="left"/>
                            <w:rPr>
                              <w:rFonts w:ascii="Times New Roman" w:hAnsi="Times New Roman" w:eastAsia="宋体" w:cs="Times New Roman"/>
                              <w:sz w:val="18"/>
                              <w:szCs w:val="18"/>
                            </w:rPr>
                          </w:pPr>
                          <w:r>
                            <w:rPr>
                              <w:rFonts w:ascii="Times New Roman" w:hAnsi="Times New Roman" w:eastAsia="宋体" w:cs="Times New Roman"/>
                              <w:sz w:val="18"/>
                              <w:szCs w:val="18"/>
                            </w:rPr>
                            <w:fldChar w:fldCharType="begin"/>
                          </w:r>
                          <w:r>
                            <w:rPr>
                              <w:rFonts w:ascii="Times New Roman" w:hAnsi="Times New Roman" w:eastAsia="宋体" w:cs="Times New Roman"/>
                              <w:sz w:val="18"/>
                              <w:szCs w:val="18"/>
                            </w:rPr>
                            <w:instrText xml:space="preserve"> PAGE  \* MERGEFORMAT </w:instrText>
                          </w:r>
                          <w:r>
                            <w:rPr>
                              <w:rFonts w:ascii="Times New Roman" w:hAnsi="Times New Roman" w:eastAsia="宋体" w:cs="Times New Roman"/>
                              <w:sz w:val="18"/>
                              <w:szCs w:val="18"/>
                            </w:rPr>
                            <w:fldChar w:fldCharType="separate"/>
                          </w:r>
                          <w:r>
                            <w:rPr>
                              <w:rFonts w:ascii="Times New Roman" w:hAnsi="Times New Roman" w:eastAsia="宋体" w:cs="Times New Roman"/>
                              <w:sz w:val="18"/>
                              <w:szCs w:val="18"/>
                            </w:rPr>
                            <w:t>1</w:t>
                          </w:r>
                          <w:r>
                            <w:rPr>
                              <w:rFonts w:ascii="Times New Roman" w:hAnsi="Times New Roman" w:eastAsia="宋体" w:cs="Times New Roman"/>
                              <w:sz w:val="18"/>
                              <w:szCs w:val="18"/>
                            </w:rPr>
                            <w:fldChar w:fldCharType="end"/>
                          </w:r>
                        </w:p>
                        <w:p w14:paraId="3BC7A5D8">
                          <w:pPr>
                            <w:rPr>
                              <w:rFonts w:ascii="Times New Roman" w:hAnsi="Times New Roman" w:eastAsia="宋体" w:cs="Times New Roman"/>
                              <w:kern w:val="0"/>
                              <w:szCs w:val="21"/>
                            </w:rPr>
                          </w:pP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171C8283">
                    <w:pPr>
                      <w:jc w:val="left"/>
                      <w:rPr>
                        <w:rFonts w:ascii="Times New Roman" w:hAnsi="Times New Roman" w:eastAsia="宋体" w:cs="Times New Roman"/>
                        <w:sz w:val="18"/>
                        <w:szCs w:val="18"/>
                      </w:rPr>
                    </w:pPr>
                    <w:r>
                      <w:rPr>
                        <w:rFonts w:ascii="Times New Roman" w:hAnsi="Times New Roman" w:eastAsia="宋体" w:cs="Times New Roman"/>
                        <w:sz w:val="18"/>
                        <w:szCs w:val="18"/>
                      </w:rPr>
                      <w:fldChar w:fldCharType="begin"/>
                    </w:r>
                    <w:r>
                      <w:rPr>
                        <w:rFonts w:ascii="Times New Roman" w:hAnsi="Times New Roman" w:eastAsia="宋体" w:cs="Times New Roman"/>
                        <w:sz w:val="18"/>
                        <w:szCs w:val="18"/>
                      </w:rPr>
                      <w:instrText xml:space="preserve"> PAGE  \* MERGEFORMAT </w:instrText>
                    </w:r>
                    <w:r>
                      <w:rPr>
                        <w:rFonts w:ascii="Times New Roman" w:hAnsi="Times New Roman" w:eastAsia="宋体" w:cs="Times New Roman"/>
                        <w:sz w:val="18"/>
                        <w:szCs w:val="18"/>
                      </w:rPr>
                      <w:fldChar w:fldCharType="separate"/>
                    </w:r>
                    <w:r>
                      <w:rPr>
                        <w:rFonts w:ascii="Times New Roman" w:hAnsi="Times New Roman" w:eastAsia="宋体" w:cs="Times New Roman"/>
                        <w:sz w:val="18"/>
                        <w:szCs w:val="18"/>
                      </w:rPr>
                      <w:t>1</w:t>
                    </w:r>
                    <w:r>
                      <w:rPr>
                        <w:rFonts w:ascii="Times New Roman" w:hAnsi="Times New Roman" w:eastAsia="宋体" w:cs="Times New Roman"/>
                        <w:sz w:val="18"/>
                        <w:szCs w:val="18"/>
                      </w:rPr>
                      <w:fldChar w:fldCharType="end"/>
                    </w:r>
                  </w:p>
                  <w:p w14:paraId="3BC7A5D8">
                    <w:pPr>
                      <w:rPr>
                        <w:rFonts w:ascii="Times New Roman" w:hAnsi="Times New Roman" w:eastAsia="宋体" w:cs="Times New Roman"/>
                        <w:kern w:val="0"/>
                        <w:szCs w:val="21"/>
                      </w:rPr>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442338">
    <w:pPr>
      <w:tabs>
        <w:tab w:val="center" w:pos="4153"/>
        <w:tab w:val="right" w:pos="8306"/>
      </w:tabs>
      <w:jc w:val="left"/>
      <w:rPr>
        <w:rFonts w:ascii="Times New Roman" w:hAnsi="Times New Roman" w:eastAsia="宋体" w:cs="Times New Roman"/>
        <w:sz w:val="18"/>
        <w:szCs w:val="18"/>
      </w:rPr>
    </w:pPr>
    <w:r>
      <w:rPr>
        <w:rFonts w:ascii="Times New Roman" w:hAnsi="Times New Roman" w:eastAsia="宋体" w:cs="Times New Roman"/>
        <w:sz w:val="20"/>
        <w:szCs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386FC131">
                          <w:pPr>
                            <w:jc w:val="left"/>
                            <w:rPr>
                              <w:rFonts w:ascii="Times New Roman" w:hAnsi="Times New Roman" w:eastAsia="宋体" w:cs="Times New Roman"/>
                              <w:sz w:val="18"/>
                              <w:szCs w:val="18"/>
                            </w:rPr>
                          </w:pPr>
                          <w:r>
                            <w:rPr>
                              <w:rFonts w:hint="eastAsia" w:ascii="Times New Roman" w:hAnsi="Times New Roman" w:eastAsia="宋体" w:cs="Times New Roman"/>
                              <w:sz w:val="18"/>
                              <w:szCs w:val="18"/>
                            </w:rPr>
                            <w:fldChar w:fldCharType="begin"/>
                          </w:r>
                          <w:r>
                            <w:rPr>
                              <w:rFonts w:hint="eastAsia" w:ascii="Times New Roman" w:hAnsi="Times New Roman" w:eastAsia="宋体" w:cs="Times New Roman"/>
                              <w:sz w:val="18"/>
                              <w:szCs w:val="18"/>
                            </w:rPr>
                            <w:instrText xml:space="preserve">PAGE  \* MERGEFORMAT</w:instrText>
                          </w:r>
                          <w:r>
                            <w:rPr>
                              <w:rFonts w:hint="eastAsia" w:ascii="Times New Roman" w:hAnsi="Times New Roman" w:eastAsia="宋体" w:cs="Times New Roman"/>
                              <w:sz w:val="18"/>
                              <w:szCs w:val="18"/>
                            </w:rPr>
                            <w:fldChar w:fldCharType="separate"/>
                          </w:r>
                          <w:r>
                            <w:rPr>
                              <w:rFonts w:ascii="Times New Roman" w:hAnsi="Times New Roman" w:eastAsia="宋体" w:cs="Times New Roman"/>
                              <w:sz w:val="18"/>
                              <w:szCs w:val="18"/>
                            </w:rPr>
                            <w:t>38</w:t>
                          </w:r>
                          <w:r>
                            <w:rPr>
                              <w:rFonts w:hint="eastAsia" w:ascii="Times New Roman" w:hAnsi="Times New Roman" w:eastAsia="宋体" w:cs="Times New Roman"/>
                              <w:sz w:val="18"/>
                              <w:szCs w:val="18"/>
                            </w:rPr>
                            <w:fldChar w:fldCharType="end"/>
                          </w:r>
                        </w:p>
                        <w:p w14:paraId="32535011">
                          <w:pPr>
                            <w:rPr>
                              <w:rFonts w:ascii="Times New Roman" w:hAnsi="Times New Roman" w:eastAsia="宋体" w:cs="Times New Roman"/>
                              <w:kern w:val="0"/>
                              <w:szCs w:val="21"/>
                            </w:rPr>
                          </w:pPr>
                        </w:p>
                      </w:txbxContent>
                    </wps:txbx>
                    <wps:bodyPr wrap="none" lIns="0" tIns="0" rIns="0" bIns="0" anchor="ctr"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v-text-anchor:middle;mso-width-relative:page;mso-height-relative:page;" filled="f" stroked="f" coordsize="21600,21600" o:gfxdata="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OdA3zfRAAAABQEAAA8AAAAAAAAAAQAg&#10;AAAAIgAAAGRycy9kb3ducmV2LnhtbFBLAQIUABQAAAAIAIdO4kC/cO4/3AEAALQDAAAOAAAAAAAA&#10;AAEAIAAAACABAABkcnMvZTJvRG9jLnhtbFBLBQYAAAAABgAGAFkBAABuBQAAAAA=&#10;">
              <v:fill on="f" focussize="0,0"/>
              <v:stroke on="f"/>
              <v:imagedata o:title=""/>
              <o:lock v:ext="edit" aspectratio="f"/>
              <v:textbox inset="0mm,0mm,0mm,0mm" style="mso-fit-shape-to-text:t;">
                <w:txbxContent>
                  <w:p w14:paraId="386FC131">
                    <w:pPr>
                      <w:jc w:val="left"/>
                      <w:rPr>
                        <w:rFonts w:ascii="Times New Roman" w:hAnsi="Times New Roman" w:eastAsia="宋体" w:cs="Times New Roman"/>
                        <w:sz w:val="18"/>
                        <w:szCs w:val="18"/>
                      </w:rPr>
                    </w:pPr>
                    <w:r>
                      <w:rPr>
                        <w:rFonts w:hint="eastAsia" w:ascii="Times New Roman" w:hAnsi="Times New Roman" w:eastAsia="宋体" w:cs="Times New Roman"/>
                        <w:sz w:val="18"/>
                        <w:szCs w:val="18"/>
                      </w:rPr>
                      <w:fldChar w:fldCharType="begin"/>
                    </w:r>
                    <w:r>
                      <w:rPr>
                        <w:rFonts w:hint="eastAsia" w:ascii="Times New Roman" w:hAnsi="Times New Roman" w:eastAsia="宋体" w:cs="Times New Roman"/>
                        <w:sz w:val="18"/>
                        <w:szCs w:val="18"/>
                      </w:rPr>
                      <w:instrText xml:space="preserve">PAGE  \* MERGEFORMAT</w:instrText>
                    </w:r>
                    <w:r>
                      <w:rPr>
                        <w:rFonts w:hint="eastAsia" w:ascii="Times New Roman" w:hAnsi="Times New Roman" w:eastAsia="宋体" w:cs="Times New Roman"/>
                        <w:sz w:val="18"/>
                        <w:szCs w:val="18"/>
                      </w:rPr>
                      <w:fldChar w:fldCharType="separate"/>
                    </w:r>
                    <w:r>
                      <w:rPr>
                        <w:rFonts w:ascii="Times New Roman" w:hAnsi="Times New Roman" w:eastAsia="宋体" w:cs="Times New Roman"/>
                        <w:sz w:val="18"/>
                        <w:szCs w:val="18"/>
                      </w:rPr>
                      <w:t>38</w:t>
                    </w:r>
                    <w:r>
                      <w:rPr>
                        <w:rFonts w:hint="eastAsia" w:ascii="Times New Roman" w:hAnsi="Times New Roman" w:eastAsia="宋体" w:cs="Times New Roman"/>
                        <w:sz w:val="18"/>
                        <w:szCs w:val="18"/>
                      </w:rPr>
                      <w:fldChar w:fldCharType="end"/>
                    </w:r>
                  </w:p>
                  <w:p w14:paraId="32535011">
                    <w:pPr>
                      <w:rPr>
                        <w:rFonts w:ascii="Times New Roman" w:hAnsi="Times New Roman" w:eastAsia="宋体" w:cs="Times New Roman"/>
                        <w:kern w:val="0"/>
                        <w:szCs w:val="21"/>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69899C">
    <w:pPr>
      <w:pBdr>
        <w:bottom w:val="none" w:color="000000" w:sz="0" w:space="0"/>
      </w:pBdr>
      <w:tabs>
        <w:tab w:val="center" w:pos="4153"/>
        <w:tab w:val="right" w:pos="8306"/>
      </w:tabs>
      <w:jc w:val="center"/>
      <w:rPr>
        <w:rFonts w:ascii="Times New Roman" w:hAnsi="Times New Roman" w:eastAsia="宋体" w:cs="Times New Roman"/>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2"/>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japaneseCounting"/>
      <w:lvlText w:val="第%1章"/>
      <w:lvlJc w:val="left"/>
      <w:pPr>
        <w:tabs>
          <w:tab w:val="left" w:pos="1440"/>
        </w:tabs>
        <w:ind w:left="1440" w:hanging="1440"/>
      </w:pPr>
      <w:rPr>
        <w:rFonts w:hint="eastAsia" w:ascii="黑体" w:eastAsia="黑体"/>
        <w:b w:val="0"/>
        <w:sz w:val="36"/>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632026D"/>
    <w:multiLevelType w:val="multilevel"/>
    <w:tmpl w:val="0632026D"/>
    <w:lvl w:ilvl="0" w:tentative="0">
      <w:start w:val="1"/>
      <w:numFmt w:val="chineseCountingThousand"/>
      <w:suff w:val="space"/>
      <w:lvlText w:val="第%1章"/>
      <w:lvlJc w:val="left"/>
      <w:pPr>
        <w:ind w:left="0" w:firstLine="0"/>
      </w:pPr>
      <w:rPr>
        <w:rFonts w:hint="eastAsia" w:ascii="Times New Roman" w:hAnsi="Times New Roman" w:cs="Times New Roman"/>
        <w:sz w:val="44"/>
        <w:szCs w:val="44"/>
      </w:rPr>
    </w:lvl>
    <w:lvl w:ilvl="1" w:tentative="0">
      <w:start w:val="1"/>
      <w:numFmt w:val="chineseCountingThousand"/>
      <w:suff w:val="space"/>
      <w:lvlText w:val="第%2节"/>
      <w:lvlJc w:val="left"/>
      <w:pPr>
        <w:ind w:left="4689" w:hanging="720"/>
      </w:pPr>
      <w:rPr>
        <w:rFonts w:hint="eastAsia"/>
      </w:rPr>
    </w:lvl>
    <w:lvl w:ilvl="2" w:tentative="0">
      <w:start w:val="1"/>
      <w:numFmt w:val="decimal"/>
      <w:pStyle w:val="3"/>
      <w:suff w:val="space"/>
      <w:lvlText w:val="%3."/>
      <w:lvlJc w:val="left"/>
      <w:pPr>
        <w:ind w:left="708" w:firstLine="0"/>
      </w:pPr>
      <w:rPr>
        <w:rFonts w:hint="eastAsia" w:ascii="Times New Roman" w:hAnsi="Times New Roman" w:cs="Times New Roman"/>
      </w:rPr>
    </w:lvl>
    <w:lvl w:ilvl="3" w:tentative="0">
      <w:start w:val="1"/>
      <w:numFmt w:val="decimal"/>
      <w:suff w:val="space"/>
      <w:lvlText w:val="%3.%4"/>
      <w:lvlJc w:val="left"/>
      <w:pPr>
        <w:ind w:left="283" w:firstLine="0"/>
      </w:pPr>
      <w:rPr>
        <w:rFonts w:hint="eastAsia"/>
        <w:b/>
        <w:bCs/>
      </w:rPr>
    </w:lvl>
    <w:lvl w:ilvl="4" w:tentative="0">
      <w:start w:val="1"/>
      <w:numFmt w:val="decimal"/>
      <w:suff w:val="space"/>
      <w:lvlText w:val="%3.%4.%5"/>
      <w:lvlJc w:val="left"/>
      <w:pPr>
        <w:ind w:left="0" w:firstLine="0"/>
      </w:pPr>
      <w:rPr>
        <w:rFonts w:hint="eastAsia" w:ascii="Times New Roman" w:hAnsi="Times New Roman" w:cs="Times New Roman"/>
      </w:rPr>
    </w:lvl>
    <w:lvl w:ilvl="5" w:tentative="0">
      <w:start w:val="1"/>
      <w:numFmt w:val="decimal"/>
      <w:suff w:val="space"/>
      <w:lvlText w:val="%3.%4.%5.%6"/>
      <w:lvlJc w:val="left"/>
      <w:pPr>
        <w:ind w:left="0" w:firstLine="0"/>
      </w:pPr>
      <w:rPr>
        <w:rFonts w:hint="eastAsia"/>
      </w:rPr>
    </w:lvl>
    <w:lvl w:ilvl="6" w:tentative="0">
      <w:start w:val="1"/>
      <w:numFmt w:val="decimal"/>
      <w:lvlText w:val="%3.%4.%5.%6.%7"/>
      <w:lvlJc w:val="left"/>
      <w:pPr>
        <w:ind w:left="0" w:firstLine="0"/>
      </w:pPr>
      <w:rPr>
        <w:rFonts w:hint="eastAsia"/>
      </w:rPr>
    </w:lvl>
    <w:lvl w:ilvl="7" w:tentative="0">
      <w:start w:val="1"/>
      <w:numFmt w:val="decimal"/>
      <w:suff w:val="space"/>
      <w:lvlText w:val="%3.%4.%5.%6.%7.%8"/>
      <w:lvlJc w:val="left"/>
      <w:pPr>
        <w:ind w:left="0" w:firstLine="0"/>
      </w:pPr>
      <w:rPr>
        <w:rFonts w:hint="eastAsia"/>
      </w:rPr>
    </w:lvl>
    <w:lvl w:ilvl="8" w:tentative="0">
      <w:start w:val="1"/>
      <w:numFmt w:val="decimal"/>
      <w:suff w:val="space"/>
      <w:lvlText w:val="%3.%4.%5.%6.%7.%8.%9"/>
      <w:lvlJc w:val="left"/>
      <w:pPr>
        <w:ind w:left="0" w:firstLine="0"/>
      </w:pPr>
      <w:rPr>
        <w:rFonts w:hint="eastAsia"/>
      </w:rPr>
    </w:lvl>
  </w:abstractNum>
  <w:abstractNum w:abstractNumId="3">
    <w:nsid w:val="14125ACE"/>
    <w:multiLevelType w:val="singleLevel"/>
    <w:tmpl w:val="14125ACE"/>
    <w:lvl w:ilvl="0" w:tentative="0">
      <w:start w:val="1"/>
      <w:numFmt w:val="ideographTraditional"/>
      <w:suff w:val="nothing"/>
      <w:lvlText w:val="%1、"/>
      <w:lvlJc w:val="left"/>
      <w:rPr>
        <w:rFonts w:hint="eastAsia"/>
      </w:rPr>
    </w:lvl>
  </w:abstractNum>
  <w:abstractNum w:abstractNumId="4">
    <w:nsid w:val="25B654F3"/>
    <w:multiLevelType w:val="multilevel"/>
    <w:tmpl w:val="25B654F3"/>
    <w:lvl w:ilvl="0" w:tentative="0">
      <w:start w:val="4"/>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2CAB5B92"/>
    <w:multiLevelType w:val="multilevel"/>
    <w:tmpl w:val="2CAB5B92"/>
    <w:lvl w:ilvl="0" w:tentative="0">
      <w:start w:val="10"/>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72183CF9"/>
    <w:multiLevelType w:val="multilevel"/>
    <w:tmpl w:val="72183CF9"/>
    <w:lvl w:ilvl="0" w:tentative="0">
      <w:start w:val="1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3"/>
  </w:num>
  <w:num w:numId="5">
    <w:abstractNumId w:val="5"/>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embedSystemFonts/>
  <w:bordersDoNotSurroundHeader w:val="1"/>
  <w:bordersDoNotSurroundFooter w:val="1"/>
  <w:trackRevisions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51AE"/>
    <w:rsid w:val="000C51AE"/>
    <w:rsid w:val="00144316"/>
    <w:rsid w:val="001A20E3"/>
    <w:rsid w:val="002102A7"/>
    <w:rsid w:val="00210AE1"/>
    <w:rsid w:val="002C6F78"/>
    <w:rsid w:val="00333A2A"/>
    <w:rsid w:val="00496371"/>
    <w:rsid w:val="004C46A8"/>
    <w:rsid w:val="00760069"/>
    <w:rsid w:val="0077510C"/>
    <w:rsid w:val="0079036D"/>
    <w:rsid w:val="008D313A"/>
    <w:rsid w:val="009644FC"/>
    <w:rsid w:val="00AB2F7D"/>
    <w:rsid w:val="00AC11CA"/>
    <w:rsid w:val="00BD0FD0"/>
    <w:rsid w:val="00C242F1"/>
    <w:rsid w:val="00D42FF9"/>
    <w:rsid w:val="00F026EB"/>
    <w:rsid w:val="00F4745E"/>
    <w:rsid w:val="030E01DA"/>
    <w:rsid w:val="07BF1175"/>
    <w:rsid w:val="08A759E9"/>
    <w:rsid w:val="099836F7"/>
    <w:rsid w:val="13F54799"/>
    <w:rsid w:val="155B6F0B"/>
    <w:rsid w:val="19551028"/>
    <w:rsid w:val="1C8F393E"/>
    <w:rsid w:val="1F6C6FF8"/>
    <w:rsid w:val="1FF71F26"/>
    <w:rsid w:val="20686980"/>
    <w:rsid w:val="24992D39"/>
    <w:rsid w:val="27453BAE"/>
    <w:rsid w:val="29544F52"/>
    <w:rsid w:val="2B495615"/>
    <w:rsid w:val="2C792640"/>
    <w:rsid w:val="2CB531A0"/>
    <w:rsid w:val="2D157E8F"/>
    <w:rsid w:val="2F2C2DF5"/>
    <w:rsid w:val="30B8125D"/>
    <w:rsid w:val="3C822FD1"/>
    <w:rsid w:val="3C9C1A33"/>
    <w:rsid w:val="3E1A5671"/>
    <w:rsid w:val="3FE536F1"/>
    <w:rsid w:val="40095632"/>
    <w:rsid w:val="42F22CE1"/>
    <w:rsid w:val="45B95404"/>
    <w:rsid w:val="472B40E0"/>
    <w:rsid w:val="47767A51"/>
    <w:rsid w:val="47D23DB4"/>
    <w:rsid w:val="497E2BEC"/>
    <w:rsid w:val="4AEF3676"/>
    <w:rsid w:val="4B3519D1"/>
    <w:rsid w:val="4C5D46D5"/>
    <w:rsid w:val="504306EC"/>
    <w:rsid w:val="50F73284"/>
    <w:rsid w:val="51960CEF"/>
    <w:rsid w:val="54534C76"/>
    <w:rsid w:val="57A203EE"/>
    <w:rsid w:val="61921700"/>
    <w:rsid w:val="62BD568B"/>
    <w:rsid w:val="634A36E8"/>
    <w:rsid w:val="63E91153"/>
    <w:rsid w:val="6537448A"/>
    <w:rsid w:val="659B022A"/>
    <w:rsid w:val="66BA0C05"/>
    <w:rsid w:val="681542C4"/>
    <w:rsid w:val="69553C3D"/>
    <w:rsid w:val="695E7EED"/>
    <w:rsid w:val="6C8859AD"/>
    <w:rsid w:val="709541F4"/>
    <w:rsid w:val="7181001E"/>
    <w:rsid w:val="726E2F4F"/>
    <w:rsid w:val="73972979"/>
    <w:rsid w:val="73FE786D"/>
    <w:rsid w:val="753F0BD2"/>
    <w:rsid w:val="75BA46FD"/>
    <w:rsid w:val="78402B8D"/>
    <w:rsid w:val="789B0816"/>
    <w:rsid w:val="79A2543E"/>
    <w:rsid w:val="7C7A1937"/>
    <w:rsid w:val="7DAE2D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3">
    <w:name w:val="heading 3"/>
    <w:basedOn w:val="1"/>
    <w:next w:val="1"/>
    <w:semiHidden/>
    <w:unhideWhenUsed/>
    <w:qFormat/>
    <w:uiPriority w:val="0"/>
    <w:pPr>
      <w:keepNext/>
      <w:keepLines/>
      <w:widowControl/>
      <w:numPr>
        <w:ilvl w:val="2"/>
        <w:numId w:val="1"/>
      </w:numPr>
      <w:spacing w:before="120" w:after="120"/>
      <w:outlineLvl w:val="2"/>
    </w:pPr>
    <w:rPr>
      <w:rFonts w:ascii="方正仿宋_GBK" w:hAnsi="方正仿宋_GBK" w:eastAsia="方正楷体_GBK" w:cs="Times New Roman"/>
      <w:b/>
      <w:sz w:val="32"/>
      <w:szCs w:val="36"/>
    </w:rPr>
  </w:style>
  <w:style w:type="character" w:default="1" w:styleId="11">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4">
    <w:name w:val="annotation text"/>
    <w:basedOn w:val="1"/>
    <w:link w:val="15"/>
    <w:qFormat/>
    <w:uiPriority w:val="0"/>
    <w:pPr>
      <w:jc w:val="left"/>
    </w:pPr>
  </w:style>
  <w:style w:type="paragraph" w:styleId="5">
    <w:name w:val="index 4"/>
    <w:basedOn w:val="1"/>
    <w:next w:val="1"/>
    <w:unhideWhenUsed/>
    <w:qFormat/>
    <w:uiPriority w:val="99"/>
    <w:pPr>
      <w:ind w:left="600"/>
    </w:pPr>
    <w:rPr>
      <w:rFonts w:ascii="Verdana" w:hAnsi="Verdana"/>
      <w:szCs w:val="20"/>
    </w:rPr>
  </w:style>
  <w:style w:type="paragraph" w:styleId="6">
    <w:name w:val="footer"/>
    <w:basedOn w:val="1"/>
    <w:link w:val="14"/>
    <w:uiPriority w:val="0"/>
    <w:pPr>
      <w:tabs>
        <w:tab w:val="center" w:pos="4153"/>
        <w:tab w:val="right" w:pos="8306"/>
      </w:tabs>
      <w:snapToGrid w:val="0"/>
      <w:jc w:val="left"/>
    </w:pPr>
    <w:rPr>
      <w:sz w:val="18"/>
      <w:szCs w:val="18"/>
    </w:rPr>
  </w:style>
  <w:style w:type="paragraph" w:styleId="7">
    <w:name w:val="header"/>
    <w:basedOn w:val="1"/>
    <w:link w:val="13"/>
    <w:uiPriority w:val="0"/>
    <w:pPr>
      <w:pBdr>
        <w:bottom w:val="single" w:color="auto" w:sz="6" w:space="1"/>
      </w:pBdr>
      <w:tabs>
        <w:tab w:val="center" w:pos="4153"/>
        <w:tab w:val="right" w:pos="8306"/>
      </w:tabs>
      <w:snapToGrid w:val="0"/>
      <w:jc w:val="center"/>
    </w:pPr>
    <w:rPr>
      <w:sz w:val="18"/>
      <w:szCs w:val="18"/>
    </w:rPr>
  </w:style>
  <w:style w:type="paragraph" w:styleId="8">
    <w:name w:val="annotation subject"/>
    <w:basedOn w:val="4"/>
    <w:next w:val="4"/>
    <w:link w:val="16"/>
    <w:uiPriority w:val="0"/>
    <w:rPr>
      <w:b/>
      <w:bCs/>
    </w:rPr>
  </w:style>
  <w:style w:type="table" w:styleId="10">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12">
    <w:name w:val="annotation reference"/>
    <w:basedOn w:val="11"/>
    <w:uiPriority w:val="0"/>
    <w:rPr>
      <w:sz w:val="21"/>
      <w:szCs w:val="21"/>
    </w:rPr>
  </w:style>
  <w:style w:type="character" w:customStyle="1" w:styleId="13">
    <w:name w:val="页眉 字符"/>
    <w:basedOn w:val="11"/>
    <w:link w:val="7"/>
    <w:uiPriority w:val="0"/>
    <w:rPr>
      <w:rFonts w:asciiTheme="minorHAnsi" w:hAnsiTheme="minorHAnsi" w:eastAsiaTheme="minorEastAsia" w:cstheme="minorBidi"/>
      <w:kern w:val="2"/>
      <w:sz w:val="18"/>
      <w:szCs w:val="18"/>
    </w:rPr>
  </w:style>
  <w:style w:type="character" w:customStyle="1" w:styleId="14">
    <w:name w:val="页脚 字符"/>
    <w:basedOn w:val="11"/>
    <w:link w:val="6"/>
    <w:uiPriority w:val="0"/>
    <w:rPr>
      <w:rFonts w:asciiTheme="minorHAnsi" w:hAnsiTheme="minorHAnsi" w:eastAsiaTheme="minorEastAsia" w:cstheme="minorBidi"/>
      <w:kern w:val="2"/>
      <w:sz w:val="18"/>
      <w:szCs w:val="18"/>
    </w:rPr>
  </w:style>
  <w:style w:type="character" w:customStyle="1" w:styleId="15">
    <w:name w:val="批注文字 字符"/>
    <w:basedOn w:val="11"/>
    <w:link w:val="4"/>
    <w:qFormat/>
    <w:uiPriority w:val="0"/>
    <w:rPr>
      <w:rFonts w:asciiTheme="minorHAnsi" w:hAnsiTheme="minorHAnsi" w:eastAsiaTheme="minorEastAsia" w:cstheme="minorBidi"/>
      <w:kern w:val="2"/>
      <w:sz w:val="21"/>
      <w:szCs w:val="24"/>
    </w:rPr>
  </w:style>
  <w:style w:type="character" w:customStyle="1" w:styleId="16">
    <w:name w:val="批注主题 字符"/>
    <w:basedOn w:val="15"/>
    <w:link w:val="8"/>
    <w:uiPriority w:val="0"/>
    <w:rPr>
      <w:rFonts w:asciiTheme="minorHAnsi" w:hAnsiTheme="minorHAnsi" w:eastAsiaTheme="minorEastAsia" w:cstheme="minorBidi"/>
      <w:b/>
      <w:bCs/>
      <w:kern w:val="2"/>
      <w:sz w:val="21"/>
      <w:szCs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61</Pages>
  <Words>3623</Words>
  <Characters>4030</Characters>
  <Lines>229</Lines>
  <Paragraphs>64</Paragraphs>
  <TotalTime>26</TotalTime>
  <ScaleCrop>false</ScaleCrop>
  <LinksUpToDate>false</LinksUpToDate>
  <CharactersWithSpaces>4122</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2025-11-27T11:49:00Z</dcterms:created>
  <dc:creator>Administrator</dc:creator>
  <cp:lastModifiedBy>XIE</cp:lastModifiedBy>
  <dcterms:modified xsi:type="dcterms:W3CDTF">2025-12-01T02:21:42Z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KSOTemplateDocerSaveRecord">
    <vt:lpwstr>eyJoZGlkIjoiNDVlNGJhNjBmZjdiMjdiNWE2NmY3MDA3ZmNjNjA4ZjAiLCJ1c2VySWQiOiIxMjk2MDYwNTg5In0=</vt:lpwstr>
  </property>
  <property fmtid="{D5CDD505-2E9C-101B-9397-08002B2CF9AE}" pid="4" name="ICV">
    <vt:lpwstr>4237D96AFA0C42F6922DDB983FA6BD4C_13</vt:lpwstr>
  </property>
</Properties>
</file>